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D51" w:rsidRPr="001C02F9" w:rsidRDefault="00BD7C44" w:rsidP="00BD7C44">
      <w:pPr>
        <w:jc w:val="center"/>
        <w:rPr>
          <w:rFonts w:cs="Arial"/>
          <w:b/>
          <w:sz w:val="32"/>
          <w:szCs w:val="40"/>
          <w:lang w:val="en-GB"/>
        </w:rPr>
      </w:pPr>
      <w:r w:rsidRPr="001C02F9">
        <w:rPr>
          <w:rFonts w:cs="Arial"/>
          <w:b/>
          <w:sz w:val="32"/>
          <w:szCs w:val="40"/>
          <w:lang w:val="en-GB"/>
        </w:rPr>
        <w:t>Job Description</w:t>
      </w:r>
    </w:p>
    <w:p w:rsidR="002A4ADB" w:rsidRPr="00EA1C3C" w:rsidRDefault="002A4ADB">
      <w:pPr>
        <w:rPr>
          <w:rFonts w:cs="Arial"/>
          <w:lang w:val="en-GB"/>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7100"/>
      </w:tblGrid>
      <w:tr w:rsidR="00277673" w:rsidRPr="004E640D" w:rsidTr="004E640D">
        <w:trPr>
          <w:trHeight w:val="847"/>
        </w:trPr>
        <w:tc>
          <w:tcPr>
            <w:tcW w:w="0" w:type="auto"/>
            <w:vAlign w:val="center"/>
          </w:tcPr>
          <w:p w:rsidR="00EA3D51" w:rsidRPr="004E640D" w:rsidRDefault="00EA3D51" w:rsidP="00EA3D51">
            <w:pPr>
              <w:rPr>
                <w:rFonts w:cs="Arial"/>
                <w:b/>
                <w:lang w:val="en-GB"/>
              </w:rPr>
            </w:pPr>
            <w:r w:rsidRPr="004E640D">
              <w:rPr>
                <w:rFonts w:cs="Arial"/>
                <w:b/>
                <w:lang w:val="en-GB"/>
              </w:rPr>
              <w:t>Job title</w:t>
            </w:r>
          </w:p>
        </w:tc>
        <w:tc>
          <w:tcPr>
            <w:tcW w:w="0" w:type="auto"/>
            <w:vAlign w:val="center"/>
          </w:tcPr>
          <w:p w:rsidR="00EA3D51" w:rsidRPr="004E640D" w:rsidRDefault="00277673" w:rsidP="00EA3D51">
            <w:pPr>
              <w:rPr>
                <w:rFonts w:cs="Arial"/>
                <w:lang w:val="en-GB"/>
              </w:rPr>
            </w:pPr>
            <w:r>
              <w:rPr>
                <w:rFonts w:cs="Arial"/>
                <w:lang w:val="en-GB"/>
              </w:rPr>
              <w:t>Pharmacy Technician</w:t>
            </w:r>
          </w:p>
        </w:tc>
      </w:tr>
      <w:tr w:rsidR="00277673" w:rsidRPr="004E640D" w:rsidTr="004E640D">
        <w:trPr>
          <w:trHeight w:val="847"/>
        </w:trPr>
        <w:tc>
          <w:tcPr>
            <w:tcW w:w="0" w:type="auto"/>
            <w:vAlign w:val="center"/>
          </w:tcPr>
          <w:p w:rsidR="00EA3D51" w:rsidRPr="004E640D" w:rsidRDefault="00EA3D51" w:rsidP="00EA3D51">
            <w:pPr>
              <w:rPr>
                <w:rFonts w:cs="Arial"/>
                <w:b/>
                <w:lang w:val="en-GB"/>
              </w:rPr>
            </w:pPr>
            <w:r w:rsidRPr="004E640D">
              <w:rPr>
                <w:rFonts w:cs="Arial"/>
                <w:b/>
                <w:lang w:val="en-GB"/>
              </w:rPr>
              <w:t>Location</w:t>
            </w:r>
          </w:p>
        </w:tc>
        <w:tc>
          <w:tcPr>
            <w:tcW w:w="0" w:type="auto"/>
            <w:vAlign w:val="center"/>
          </w:tcPr>
          <w:p w:rsidR="00EA3D51" w:rsidRPr="004E640D" w:rsidRDefault="00277673" w:rsidP="00EA3D51">
            <w:pPr>
              <w:rPr>
                <w:rFonts w:cs="Arial"/>
                <w:lang w:val="en-GB"/>
              </w:rPr>
            </w:pPr>
            <w:r>
              <w:rPr>
                <w:rFonts w:cs="Arial"/>
                <w:lang w:val="en-GB"/>
              </w:rPr>
              <w:t>Okehampton Medical Centre</w:t>
            </w:r>
            <w:r w:rsidR="00D873E5">
              <w:rPr>
                <w:rFonts w:cs="Arial"/>
                <w:lang w:val="en-GB"/>
              </w:rPr>
              <w:t>/North Dartmoor Primary Care Network</w:t>
            </w:r>
          </w:p>
        </w:tc>
      </w:tr>
      <w:tr w:rsidR="00277673" w:rsidRPr="004E640D" w:rsidTr="004E640D">
        <w:trPr>
          <w:trHeight w:val="847"/>
        </w:trPr>
        <w:tc>
          <w:tcPr>
            <w:tcW w:w="0" w:type="auto"/>
            <w:vAlign w:val="center"/>
          </w:tcPr>
          <w:p w:rsidR="00EA3D51" w:rsidRPr="004E640D" w:rsidRDefault="00EA3D51" w:rsidP="00EA3D51">
            <w:pPr>
              <w:rPr>
                <w:rFonts w:cs="Arial"/>
                <w:b/>
                <w:lang w:val="en-GB"/>
              </w:rPr>
            </w:pPr>
            <w:r w:rsidRPr="004E640D">
              <w:rPr>
                <w:rFonts w:cs="Arial"/>
                <w:b/>
                <w:lang w:val="en-GB"/>
              </w:rPr>
              <w:t>Reporting relationships</w:t>
            </w:r>
          </w:p>
        </w:tc>
        <w:tc>
          <w:tcPr>
            <w:tcW w:w="0" w:type="auto"/>
            <w:vAlign w:val="center"/>
          </w:tcPr>
          <w:p w:rsidR="00EA3D51" w:rsidRPr="004E640D" w:rsidRDefault="00EA3D51" w:rsidP="00EA3D51">
            <w:pPr>
              <w:rPr>
                <w:rFonts w:cs="Arial"/>
                <w:lang w:val="en-GB"/>
              </w:rPr>
            </w:pPr>
          </w:p>
          <w:p w:rsidR="00A33BB4" w:rsidRPr="004E640D" w:rsidRDefault="00277673" w:rsidP="00EA3D51">
            <w:pPr>
              <w:rPr>
                <w:rFonts w:cs="Arial"/>
                <w:lang w:val="en-GB"/>
              </w:rPr>
            </w:pPr>
            <w:r>
              <w:rPr>
                <w:rFonts w:cs="Arial"/>
                <w:lang w:val="en-GB"/>
              </w:rPr>
              <w:t>Pharmacist Partner</w:t>
            </w:r>
          </w:p>
          <w:p w:rsidR="00A33BB4" w:rsidRPr="004E640D" w:rsidRDefault="00A33BB4" w:rsidP="00EA3D51">
            <w:pPr>
              <w:rPr>
                <w:rFonts w:cs="Arial"/>
                <w:lang w:val="en-GB"/>
              </w:rPr>
            </w:pPr>
          </w:p>
          <w:p w:rsidR="00A33BB4" w:rsidRPr="004E640D" w:rsidRDefault="00A33BB4" w:rsidP="00EA3D51">
            <w:pPr>
              <w:rPr>
                <w:rFonts w:cs="Arial"/>
                <w:lang w:val="en-GB"/>
              </w:rPr>
            </w:pPr>
          </w:p>
        </w:tc>
      </w:tr>
      <w:tr w:rsidR="00277673" w:rsidRPr="004E640D" w:rsidTr="004E640D">
        <w:trPr>
          <w:trHeight w:val="847"/>
        </w:trPr>
        <w:tc>
          <w:tcPr>
            <w:tcW w:w="0" w:type="auto"/>
            <w:vAlign w:val="center"/>
          </w:tcPr>
          <w:p w:rsidR="00EA3D51" w:rsidRPr="004E640D" w:rsidRDefault="00EA3D51" w:rsidP="00EA3D51">
            <w:pPr>
              <w:rPr>
                <w:rFonts w:cs="Arial"/>
                <w:b/>
                <w:lang w:val="en-GB"/>
              </w:rPr>
            </w:pPr>
            <w:r w:rsidRPr="004E640D">
              <w:rPr>
                <w:rFonts w:cs="Arial"/>
                <w:b/>
                <w:lang w:val="en-GB"/>
              </w:rPr>
              <w:t>Job Purpose</w:t>
            </w:r>
          </w:p>
        </w:tc>
        <w:tc>
          <w:tcPr>
            <w:tcW w:w="0" w:type="auto"/>
            <w:vAlign w:val="center"/>
          </w:tcPr>
          <w:p w:rsidR="00EA3D51" w:rsidRPr="004E640D" w:rsidRDefault="00EA3D51" w:rsidP="00EA3D51">
            <w:pPr>
              <w:rPr>
                <w:rFonts w:cs="Arial"/>
                <w:lang w:val="en-GB"/>
              </w:rPr>
            </w:pPr>
          </w:p>
          <w:p w:rsidR="00A33BB4" w:rsidRPr="004E640D" w:rsidRDefault="00277673" w:rsidP="00EA3D51">
            <w:pPr>
              <w:rPr>
                <w:rFonts w:cs="Arial"/>
                <w:lang w:val="en-GB"/>
              </w:rPr>
            </w:pPr>
            <w:bookmarkStart w:id="0" w:name="_GoBack"/>
            <w:r>
              <w:rPr>
                <w:rFonts w:cs="Arial"/>
                <w:lang w:val="en-GB"/>
              </w:rPr>
              <w:t>To ensure the delivery of safe, effective and efficient systems for repeat prescribing, medicines optimisation, reducing medicines waste and maximising patient outcomes</w:t>
            </w:r>
          </w:p>
          <w:bookmarkEnd w:id="0"/>
          <w:p w:rsidR="00A33BB4" w:rsidRPr="004E640D" w:rsidRDefault="00A33BB4" w:rsidP="00EA3D51">
            <w:pPr>
              <w:rPr>
                <w:rFonts w:cs="Arial"/>
                <w:lang w:val="en-GB"/>
              </w:rPr>
            </w:pPr>
          </w:p>
          <w:p w:rsidR="00A33BB4" w:rsidRPr="004E640D" w:rsidRDefault="00A33BB4" w:rsidP="00EA3D51">
            <w:pPr>
              <w:rPr>
                <w:rFonts w:cs="Arial"/>
                <w:lang w:val="en-GB"/>
              </w:rPr>
            </w:pPr>
          </w:p>
        </w:tc>
      </w:tr>
      <w:tr w:rsidR="00277673" w:rsidRPr="004E640D" w:rsidTr="004E640D">
        <w:trPr>
          <w:trHeight w:val="847"/>
        </w:trPr>
        <w:tc>
          <w:tcPr>
            <w:tcW w:w="0" w:type="auto"/>
            <w:vAlign w:val="center"/>
          </w:tcPr>
          <w:p w:rsidR="00BD7C44" w:rsidRPr="004E640D" w:rsidRDefault="00BD7C44" w:rsidP="00BD7C44">
            <w:pPr>
              <w:rPr>
                <w:rFonts w:cs="Arial"/>
                <w:b/>
                <w:lang w:val="en-GB"/>
              </w:rPr>
            </w:pPr>
            <w:r w:rsidRPr="004E640D">
              <w:rPr>
                <w:rFonts w:cs="Arial"/>
                <w:b/>
                <w:lang w:val="en-GB"/>
              </w:rPr>
              <w:t>Main Responsibilities</w:t>
            </w:r>
          </w:p>
          <w:p w:rsidR="00BD7C44" w:rsidRPr="004E640D" w:rsidRDefault="00BD7C44" w:rsidP="00BD7C44">
            <w:pPr>
              <w:rPr>
                <w:rFonts w:cs="Arial"/>
                <w:b/>
                <w:lang w:val="en-GB"/>
              </w:rPr>
            </w:pPr>
          </w:p>
        </w:tc>
        <w:tc>
          <w:tcPr>
            <w:tcW w:w="0" w:type="auto"/>
            <w:vAlign w:val="center"/>
          </w:tcPr>
          <w:p w:rsidR="000A08AB" w:rsidRPr="004E640D" w:rsidRDefault="000A08AB" w:rsidP="00BD7C44">
            <w:pPr>
              <w:rPr>
                <w:rFonts w:cs="Arial"/>
                <w:b/>
                <w:lang w:val="en-GB"/>
              </w:rPr>
            </w:pPr>
          </w:p>
          <w:p w:rsidR="00A33BB4" w:rsidRDefault="00277673" w:rsidP="00BD7C44">
            <w:pPr>
              <w:rPr>
                <w:rFonts w:cs="Arial"/>
                <w:b/>
                <w:lang w:val="en-GB"/>
              </w:rPr>
            </w:pPr>
            <w:r>
              <w:rPr>
                <w:rFonts w:cs="Arial"/>
                <w:b/>
                <w:lang w:val="en-GB"/>
              </w:rPr>
              <w:t>Clinical Responsibilities</w:t>
            </w:r>
          </w:p>
          <w:p w:rsidR="00277673" w:rsidRPr="004E640D" w:rsidRDefault="00277673" w:rsidP="00BD7C44">
            <w:pPr>
              <w:rPr>
                <w:rFonts w:cs="Arial"/>
                <w:b/>
                <w:lang w:val="en-GB"/>
              </w:rPr>
            </w:pPr>
          </w:p>
          <w:p w:rsidR="00A33BB4" w:rsidRDefault="00277673" w:rsidP="00277673">
            <w:pPr>
              <w:numPr>
                <w:ilvl w:val="0"/>
                <w:numId w:val="1"/>
              </w:numPr>
              <w:rPr>
                <w:rFonts w:cs="Arial"/>
                <w:lang w:val="en-GB"/>
              </w:rPr>
            </w:pPr>
            <w:r>
              <w:rPr>
                <w:rFonts w:cs="Arial"/>
                <w:lang w:val="en-GB"/>
              </w:rPr>
              <w:t>To undertake patient facing and patient supporting roles to ensure effective medicines use, through shared-decision making conversations with patients</w:t>
            </w:r>
          </w:p>
          <w:p w:rsidR="00277673" w:rsidRDefault="00277673" w:rsidP="00277673">
            <w:pPr>
              <w:ind w:left="360"/>
              <w:rPr>
                <w:rFonts w:cs="Arial"/>
                <w:lang w:val="en-GB"/>
              </w:rPr>
            </w:pPr>
          </w:p>
          <w:p w:rsidR="00277673" w:rsidRDefault="00277673" w:rsidP="00277673">
            <w:pPr>
              <w:numPr>
                <w:ilvl w:val="0"/>
                <w:numId w:val="1"/>
              </w:numPr>
              <w:rPr>
                <w:rFonts w:cs="Arial"/>
                <w:lang w:val="en-GB"/>
              </w:rPr>
            </w:pPr>
            <w:r>
              <w:rPr>
                <w:rFonts w:cs="Arial"/>
                <w:lang w:val="en-GB"/>
              </w:rPr>
              <w:t>Carry out medicines optimisation tasks including effective medicine administration (e.g., checking inhaler technique), supporting medication reviews and medicines reconciliation.  Where required, utilise consultation skills to work in partnership with patients to ensure they use their medicines effectively</w:t>
            </w:r>
          </w:p>
          <w:p w:rsidR="00277673" w:rsidRDefault="00277673" w:rsidP="00277673">
            <w:pPr>
              <w:pStyle w:val="ListParagraph"/>
              <w:rPr>
                <w:rFonts w:cs="Arial"/>
                <w:lang w:val="en-GB"/>
              </w:rPr>
            </w:pPr>
          </w:p>
          <w:p w:rsidR="00277673" w:rsidRDefault="00277673" w:rsidP="00277673">
            <w:pPr>
              <w:numPr>
                <w:ilvl w:val="0"/>
                <w:numId w:val="1"/>
              </w:numPr>
              <w:rPr>
                <w:rFonts w:cs="Arial"/>
                <w:lang w:val="en-GB"/>
              </w:rPr>
            </w:pPr>
            <w:r>
              <w:rPr>
                <w:rFonts w:cs="Arial"/>
                <w:lang w:val="en-GB"/>
              </w:rPr>
              <w:t>Support, as determined by the PCN, medication reviews and medicines reconciliation for new care home patients and synchronising medicines for patient transfers between care settings and linking the local community pharmacists</w:t>
            </w:r>
          </w:p>
          <w:p w:rsidR="00277673" w:rsidRDefault="00277673" w:rsidP="00277673">
            <w:pPr>
              <w:pStyle w:val="ListParagraph"/>
              <w:rPr>
                <w:rFonts w:cs="Arial"/>
                <w:lang w:val="en-GB"/>
              </w:rPr>
            </w:pPr>
          </w:p>
          <w:p w:rsidR="00277673" w:rsidRDefault="00277673" w:rsidP="00277673">
            <w:pPr>
              <w:numPr>
                <w:ilvl w:val="0"/>
                <w:numId w:val="1"/>
              </w:numPr>
              <w:rPr>
                <w:rFonts w:cs="Arial"/>
                <w:lang w:val="en-GB"/>
              </w:rPr>
            </w:pPr>
            <w:r>
              <w:rPr>
                <w:rFonts w:cs="Arial"/>
                <w:lang w:val="en-GB"/>
              </w:rPr>
              <w:t>Provide specialist expertise, where competent, to address both the public health and social care needs of patients, including lifestyle advice, service information and help in tackling local health inequalities</w:t>
            </w:r>
          </w:p>
          <w:p w:rsidR="00277673" w:rsidRDefault="00277673" w:rsidP="00277673">
            <w:pPr>
              <w:pStyle w:val="ListParagraph"/>
              <w:rPr>
                <w:rFonts w:cs="Arial"/>
                <w:lang w:val="en-GB"/>
              </w:rPr>
            </w:pPr>
          </w:p>
          <w:p w:rsidR="00277673" w:rsidRDefault="00277673" w:rsidP="00277673">
            <w:pPr>
              <w:pStyle w:val="ListParagraph"/>
              <w:rPr>
                <w:rFonts w:cs="Arial"/>
                <w:lang w:val="en-GB"/>
              </w:rPr>
            </w:pPr>
          </w:p>
          <w:p w:rsidR="00277673" w:rsidRDefault="00277673" w:rsidP="00277673">
            <w:pPr>
              <w:pStyle w:val="ListParagraph"/>
              <w:rPr>
                <w:rFonts w:cs="Arial"/>
                <w:lang w:val="en-GB"/>
              </w:rPr>
            </w:pPr>
          </w:p>
          <w:p w:rsidR="00277673" w:rsidRDefault="00277673" w:rsidP="00277673">
            <w:pPr>
              <w:numPr>
                <w:ilvl w:val="0"/>
                <w:numId w:val="1"/>
              </w:numPr>
              <w:rPr>
                <w:rFonts w:cs="Arial"/>
                <w:lang w:val="en-GB"/>
              </w:rPr>
            </w:pPr>
            <w:r>
              <w:rPr>
                <w:rFonts w:cs="Arial"/>
                <w:lang w:val="en-GB"/>
              </w:rPr>
              <w:lastRenderedPageBreak/>
              <w:t>Take a central role in clinical aspects of shared care protocols and liaising with specialist pharmacists for more complex patients</w:t>
            </w:r>
          </w:p>
          <w:p w:rsidR="00277673" w:rsidRDefault="00277673" w:rsidP="00277673">
            <w:pPr>
              <w:pStyle w:val="ListParagraph"/>
              <w:rPr>
                <w:rFonts w:cs="Arial"/>
                <w:lang w:val="en-GB"/>
              </w:rPr>
            </w:pPr>
          </w:p>
          <w:p w:rsidR="00277673" w:rsidRDefault="00277673" w:rsidP="00277673">
            <w:pPr>
              <w:numPr>
                <w:ilvl w:val="0"/>
                <w:numId w:val="1"/>
              </w:numPr>
              <w:rPr>
                <w:rFonts w:cs="Arial"/>
                <w:lang w:val="en-GB"/>
              </w:rPr>
            </w:pPr>
            <w:r>
              <w:rPr>
                <w:rFonts w:cs="Arial"/>
                <w:lang w:val="en-GB"/>
              </w:rPr>
              <w:t>Support initiatives for antimicrobial stewardship to reduce inappropriate antibiotic prescribing</w:t>
            </w:r>
          </w:p>
          <w:p w:rsidR="00277673" w:rsidRDefault="00277673" w:rsidP="00277673">
            <w:pPr>
              <w:pStyle w:val="ListParagraph"/>
              <w:rPr>
                <w:rFonts w:cs="Arial"/>
                <w:lang w:val="en-GB"/>
              </w:rPr>
            </w:pPr>
          </w:p>
          <w:p w:rsidR="00277673" w:rsidRDefault="00277673" w:rsidP="00277673">
            <w:pPr>
              <w:numPr>
                <w:ilvl w:val="0"/>
                <w:numId w:val="1"/>
              </w:numPr>
              <w:rPr>
                <w:rFonts w:cs="Arial"/>
                <w:lang w:val="en-GB"/>
              </w:rPr>
            </w:pPr>
            <w:r>
              <w:rPr>
                <w:rFonts w:cs="Arial"/>
                <w:lang w:val="en-GB"/>
              </w:rPr>
              <w:t>Assist in the delivery of medicines optimisation and management incentive schemes and patient safety audits</w:t>
            </w:r>
          </w:p>
          <w:p w:rsidR="00277673" w:rsidRDefault="00277673" w:rsidP="00277673">
            <w:pPr>
              <w:pStyle w:val="ListParagraph"/>
              <w:rPr>
                <w:rFonts w:cs="Arial"/>
                <w:lang w:val="en-GB"/>
              </w:rPr>
            </w:pPr>
          </w:p>
          <w:p w:rsidR="00277673" w:rsidRDefault="00277673" w:rsidP="00277673">
            <w:pPr>
              <w:numPr>
                <w:ilvl w:val="0"/>
                <w:numId w:val="1"/>
              </w:numPr>
              <w:rPr>
                <w:rFonts w:cs="Arial"/>
                <w:lang w:val="en-GB"/>
              </w:rPr>
            </w:pPr>
            <w:r>
              <w:rPr>
                <w:rFonts w:cs="Arial"/>
                <w:lang w:val="en-GB"/>
              </w:rPr>
              <w:t>Support the implementation of national prescribing policies and guidance within GP practice, care homes and other primary care settings.  This will be achieved by undertaking clinical audits (e.g., use of antibiotics), supporting quality improvement measures and contributing to the Quality and Outcomes Framework and enhanced services</w:t>
            </w:r>
          </w:p>
          <w:p w:rsidR="00277673" w:rsidRDefault="00277673" w:rsidP="00277673">
            <w:pPr>
              <w:pStyle w:val="ListParagraph"/>
              <w:rPr>
                <w:rFonts w:cs="Arial"/>
                <w:lang w:val="en-GB"/>
              </w:rPr>
            </w:pPr>
          </w:p>
          <w:p w:rsidR="00277673" w:rsidRPr="00277673" w:rsidRDefault="00277673" w:rsidP="00277673">
            <w:pPr>
              <w:rPr>
                <w:rFonts w:cs="Arial"/>
                <w:b/>
                <w:lang w:val="en-GB"/>
              </w:rPr>
            </w:pPr>
            <w:r w:rsidRPr="00277673">
              <w:rPr>
                <w:rFonts w:cs="Arial"/>
                <w:b/>
                <w:lang w:val="en-GB"/>
              </w:rPr>
              <w:t>Technical &amp; Administrative Responsibilities:</w:t>
            </w:r>
          </w:p>
          <w:p w:rsidR="00A33BB4" w:rsidRPr="004E640D" w:rsidRDefault="00A33BB4" w:rsidP="00BD7C44">
            <w:pPr>
              <w:rPr>
                <w:rFonts w:cs="Arial"/>
                <w:b/>
                <w:lang w:val="en-GB"/>
              </w:rPr>
            </w:pPr>
          </w:p>
          <w:p w:rsidR="00A33BB4" w:rsidRDefault="00130457" w:rsidP="00277673">
            <w:pPr>
              <w:numPr>
                <w:ilvl w:val="0"/>
                <w:numId w:val="2"/>
              </w:numPr>
              <w:rPr>
                <w:rFonts w:cs="Arial"/>
                <w:lang w:val="en-GB"/>
              </w:rPr>
            </w:pPr>
            <w:r>
              <w:rPr>
                <w:rFonts w:cs="Arial"/>
                <w:lang w:val="en-GB"/>
              </w:rPr>
              <w:t>Work within the PCN multi-disciplinary team to ensure efficient medicines optimisation, including implementing efficient ordering and return processes and reducing wastage</w:t>
            </w:r>
          </w:p>
          <w:p w:rsidR="00130457" w:rsidRDefault="00130457" w:rsidP="00130457">
            <w:pPr>
              <w:ind w:left="360"/>
              <w:rPr>
                <w:rFonts w:cs="Arial"/>
                <w:lang w:val="en-GB"/>
              </w:rPr>
            </w:pPr>
          </w:p>
          <w:p w:rsidR="00130457" w:rsidRDefault="00130457" w:rsidP="00130457">
            <w:pPr>
              <w:numPr>
                <w:ilvl w:val="0"/>
                <w:numId w:val="2"/>
              </w:numPr>
              <w:rPr>
                <w:rFonts w:cs="Arial"/>
                <w:lang w:val="en-GB"/>
              </w:rPr>
            </w:pPr>
            <w:r>
              <w:rPr>
                <w:rFonts w:cs="Arial"/>
                <w:lang w:val="en-GB"/>
              </w:rPr>
              <w:t>Supervise dispensary team in sorting and streaming general prescription requests so as to allow GPs and clinical pharmacists to review the more clinically complex requests</w:t>
            </w:r>
          </w:p>
          <w:p w:rsidR="00130457" w:rsidRDefault="00130457" w:rsidP="00130457">
            <w:pPr>
              <w:pStyle w:val="ListParagraph"/>
              <w:rPr>
                <w:rFonts w:cs="Arial"/>
                <w:lang w:val="en-GB"/>
              </w:rPr>
            </w:pPr>
          </w:p>
          <w:p w:rsidR="00130457" w:rsidRDefault="00130457" w:rsidP="00130457">
            <w:pPr>
              <w:numPr>
                <w:ilvl w:val="0"/>
                <w:numId w:val="2"/>
              </w:numPr>
              <w:rPr>
                <w:rFonts w:cs="Arial"/>
                <w:lang w:val="en-GB"/>
              </w:rPr>
            </w:pPr>
            <w:r>
              <w:rPr>
                <w:rFonts w:cs="Arial"/>
                <w:lang w:val="en-GB"/>
              </w:rPr>
              <w:t>Provide leadership for medicines optimisation systems across PCNs, supporting practices with a range of services to get the best value from medicines by encouraging and implementing Electronic Prescriptions, safe repeat prescribing systems and timely monitoring and management of high-risk medicines</w:t>
            </w:r>
          </w:p>
          <w:p w:rsidR="00130457" w:rsidRDefault="00130457" w:rsidP="00130457">
            <w:pPr>
              <w:pStyle w:val="ListParagraph"/>
              <w:rPr>
                <w:rFonts w:cs="Arial"/>
                <w:lang w:val="en-GB"/>
              </w:rPr>
            </w:pPr>
          </w:p>
          <w:p w:rsidR="00130457" w:rsidRDefault="00130457" w:rsidP="00130457">
            <w:pPr>
              <w:numPr>
                <w:ilvl w:val="0"/>
                <w:numId w:val="2"/>
              </w:numPr>
              <w:rPr>
                <w:rFonts w:cs="Arial"/>
                <w:lang w:val="en-GB"/>
              </w:rPr>
            </w:pPr>
            <w:r>
              <w:rPr>
                <w:rFonts w:cs="Arial"/>
                <w:lang w:val="en-GB"/>
              </w:rPr>
              <w:t>Provide training and support on the legal, safe and secure handling of medicines, including the implementation of the Electronic Prescription Service (EPS)</w:t>
            </w:r>
          </w:p>
          <w:p w:rsidR="00130457" w:rsidRDefault="00130457" w:rsidP="00130457">
            <w:pPr>
              <w:pStyle w:val="ListParagraph"/>
              <w:rPr>
                <w:rFonts w:cs="Arial"/>
                <w:lang w:val="en-GB"/>
              </w:rPr>
            </w:pPr>
          </w:p>
          <w:p w:rsidR="00130457" w:rsidRDefault="00130457" w:rsidP="00130457">
            <w:pPr>
              <w:numPr>
                <w:ilvl w:val="0"/>
                <w:numId w:val="2"/>
              </w:numPr>
              <w:rPr>
                <w:rFonts w:cs="Arial"/>
                <w:lang w:val="en-GB"/>
              </w:rPr>
            </w:pPr>
            <w:r>
              <w:rPr>
                <w:rFonts w:cs="Arial"/>
                <w:lang w:val="en-GB"/>
              </w:rPr>
              <w:t xml:space="preserve">Develop relationships with other pharmacy technicians, pharmacists and members of the multi-disciplinary team to support integration of the pharmacy team across health and social care including primary care, community </w:t>
            </w:r>
            <w:r>
              <w:rPr>
                <w:rFonts w:cs="Arial"/>
                <w:lang w:val="en-GB"/>
              </w:rPr>
              <w:lastRenderedPageBreak/>
              <w:t>pharmacy, secondary care and mental health</w:t>
            </w:r>
          </w:p>
          <w:p w:rsidR="00130457" w:rsidRDefault="00130457" w:rsidP="00130457">
            <w:pPr>
              <w:pStyle w:val="ListParagraph"/>
              <w:rPr>
                <w:rFonts w:cs="Arial"/>
                <w:lang w:val="en-GB"/>
              </w:rPr>
            </w:pPr>
          </w:p>
          <w:p w:rsidR="008F1369" w:rsidRPr="008F1369" w:rsidRDefault="008F1369" w:rsidP="008F1369">
            <w:pPr>
              <w:numPr>
                <w:ilvl w:val="0"/>
                <w:numId w:val="2"/>
              </w:numPr>
              <w:rPr>
                <w:rFonts w:cs="Arial"/>
                <w:lang w:val="en-GB"/>
              </w:rPr>
            </w:pPr>
            <w:r w:rsidRPr="008F1369">
              <w:rPr>
                <w:rFonts w:cs="Arial"/>
                <w:lang w:val="en-GB"/>
              </w:rPr>
              <w:t>To support the equality, diversity and rights of patients, carers and colleagues</w:t>
            </w:r>
          </w:p>
          <w:p w:rsidR="008F1369" w:rsidRPr="008F1369" w:rsidRDefault="008F1369" w:rsidP="008F1369">
            <w:pPr>
              <w:ind w:left="720"/>
              <w:rPr>
                <w:rFonts w:cs="Arial"/>
                <w:lang w:val="en-GB"/>
              </w:rPr>
            </w:pPr>
          </w:p>
          <w:p w:rsidR="00A33BB4" w:rsidRPr="008F1369" w:rsidRDefault="008F1369" w:rsidP="00BD7C44">
            <w:pPr>
              <w:numPr>
                <w:ilvl w:val="0"/>
                <w:numId w:val="2"/>
              </w:numPr>
              <w:rPr>
                <w:rFonts w:cs="Arial"/>
                <w:lang w:val="en-GB"/>
              </w:rPr>
            </w:pPr>
            <w:r w:rsidRPr="008F1369">
              <w:rPr>
                <w:rFonts w:cs="Arial"/>
                <w:lang w:val="en-GB"/>
              </w:rPr>
              <w:t>To take responsibility of own development, learning and performance and demonstrating skills and activities to others who are undertaking similar work</w:t>
            </w:r>
          </w:p>
          <w:p w:rsidR="001C02F9" w:rsidRPr="004E640D" w:rsidRDefault="001C02F9" w:rsidP="00BD7C44">
            <w:pPr>
              <w:rPr>
                <w:rFonts w:cs="Arial"/>
                <w:b/>
                <w:lang w:val="en-GB"/>
              </w:rPr>
            </w:pPr>
          </w:p>
          <w:p w:rsidR="000A08AB" w:rsidRPr="004E640D" w:rsidRDefault="000A08AB" w:rsidP="00A33BB4">
            <w:pPr>
              <w:rPr>
                <w:rFonts w:cs="Arial"/>
                <w:lang w:val="en-GB"/>
              </w:rPr>
            </w:pPr>
          </w:p>
        </w:tc>
      </w:tr>
      <w:tr w:rsidR="00277673" w:rsidRPr="004E640D" w:rsidTr="004E640D">
        <w:trPr>
          <w:trHeight w:val="847"/>
        </w:trPr>
        <w:tc>
          <w:tcPr>
            <w:tcW w:w="0" w:type="auto"/>
            <w:vAlign w:val="center"/>
          </w:tcPr>
          <w:p w:rsidR="00BD7C44" w:rsidRPr="004E640D" w:rsidRDefault="00BD7C44" w:rsidP="00BD7C44">
            <w:pPr>
              <w:rPr>
                <w:rFonts w:cs="Arial"/>
                <w:b/>
                <w:lang w:val="en-GB"/>
              </w:rPr>
            </w:pPr>
            <w:r w:rsidRPr="004E640D">
              <w:rPr>
                <w:rFonts w:cs="Arial"/>
                <w:b/>
                <w:lang w:val="en-GB"/>
              </w:rPr>
              <w:lastRenderedPageBreak/>
              <w:t>Job description agreement</w:t>
            </w:r>
          </w:p>
        </w:tc>
        <w:tc>
          <w:tcPr>
            <w:tcW w:w="0" w:type="auto"/>
            <w:vAlign w:val="center"/>
          </w:tcPr>
          <w:p w:rsidR="000A08AB" w:rsidRPr="004E640D" w:rsidRDefault="000A08AB" w:rsidP="00BD7C44">
            <w:pPr>
              <w:rPr>
                <w:rFonts w:cs="Arial"/>
                <w:lang w:val="en-GB"/>
              </w:rPr>
            </w:pPr>
          </w:p>
          <w:p w:rsidR="00BD7C44" w:rsidRDefault="00BD7C44" w:rsidP="00BD7C44">
            <w:pPr>
              <w:rPr>
                <w:rFonts w:cs="Arial"/>
                <w:lang w:val="en-GB"/>
              </w:rPr>
            </w:pPr>
            <w:r w:rsidRPr="004E640D">
              <w:rPr>
                <w:rFonts w:cs="Arial"/>
                <w:lang w:val="en-GB"/>
              </w:rPr>
              <w:t>To be signed within 6 weeks of employment after discussion with line manager.</w:t>
            </w:r>
          </w:p>
          <w:p w:rsidR="001C02F9" w:rsidRPr="004E640D" w:rsidRDefault="001C02F9" w:rsidP="00BD7C44">
            <w:pPr>
              <w:rPr>
                <w:rFonts w:cs="Arial"/>
                <w:lang w:val="en-GB"/>
              </w:rPr>
            </w:pPr>
          </w:p>
          <w:tbl>
            <w:tblPr>
              <w:tblW w:w="0" w:type="auto"/>
              <w:tblLook w:val="04A0" w:firstRow="1" w:lastRow="0" w:firstColumn="1" w:lastColumn="0" w:noHBand="0" w:noVBand="1"/>
            </w:tblPr>
            <w:tblGrid>
              <w:gridCol w:w="3207"/>
              <w:gridCol w:w="12"/>
              <w:gridCol w:w="3195"/>
            </w:tblGrid>
            <w:tr w:rsidR="001C02F9" w:rsidRPr="001C02F9" w:rsidTr="001C02F9">
              <w:tc>
                <w:tcPr>
                  <w:tcW w:w="3219" w:type="dxa"/>
                  <w:gridSpan w:val="2"/>
                  <w:shd w:val="clear" w:color="auto" w:fill="auto"/>
                </w:tcPr>
                <w:p w:rsidR="001C02F9" w:rsidRPr="001C02F9" w:rsidRDefault="001C02F9" w:rsidP="001C02F9">
                  <w:pPr>
                    <w:rPr>
                      <w:rFonts w:cs="Arial"/>
                      <w:lang w:val="en-GB"/>
                    </w:rPr>
                  </w:pPr>
                  <w:r w:rsidRPr="001C02F9">
                    <w:rPr>
                      <w:rFonts w:cs="Arial"/>
                      <w:lang w:val="en-GB"/>
                    </w:rPr>
                    <w:t>Manager: ……………………</w:t>
                  </w:r>
                </w:p>
              </w:tc>
              <w:tc>
                <w:tcPr>
                  <w:tcW w:w="3195" w:type="dxa"/>
                  <w:shd w:val="clear" w:color="auto" w:fill="auto"/>
                </w:tcPr>
                <w:p w:rsidR="001C02F9" w:rsidRPr="001C02F9" w:rsidRDefault="001C02F9" w:rsidP="001C02F9">
                  <w:pPr>
                    <w:rPr>
                      <w:rFonts w:cs="Arial"/>
                      <w:lang w:val="en-GB"/>
                    </w:rPr>
                  </w:pPr>
                  <w:r w:rsidRPr="001C02F9">
                    <w:rPr>
                      <w:rFonts w:cs="Arial"/>
                      <w:lang w:val="en-GB"/>
                    </w:rPr>
                    <w:t>Date: …………..</w:t>
                  </w:r>
                </w:p>
              </w:tc>
            </w:tr>
            <w:tr w:rsidR="001C02F9" w:rsidRPr="001C02F9" w:rsidTr="001C02F9">
              <w:tc>
                <w:tcPr>
                  <w:tcW w:w="6414" w:type="dxa"/>
                  <w:gridSpan w:val="3"/>
                  <w:shd w:val="clear" w:color="auto" w:fill="auto"/>
                </w:tcPr>
                <w:p w:rsidR="001C02F9" w:rsidRPr="001C02F9" w:rsidRDefault="001C02F9" w:rsidP="000D272A">
                  <w:pPr>
                    <w:rPr>
                      <w:rFonts w:cs="Arial"/>
                      <w:lang w:val="en-GB"/>
                    </w:rPr>
                  </w:pPr>
                </w:p>
              </w:tc>
            </w:tr>
            <w:tr w:rsidR="001C02F9" w:rsidRPr="001C02F9" w:rsidTr="001C02F9">
              <w:tc>
                <w:tcPr>
                  <w:tcW w:w="3207" w:type="dxa"/>
                  <w:shd w:val="clear" w:color="auto" w:fill="auto"/>
                </w:tcPr>
                <w:p w:rsidR="001C02F9" w:rsidRPr="001C02F9" w:rsidRDefault="001C02F9" w:rsidP="001C02F9">
                  <w:pPr>
                    <w:rPr>
                      <w:rFonts w:cs="Arial"/>
                      <w:lang w:val="en-GB"/>
                    </w:rPr>
                  </w:pPr>
                  <w:proofErr w:type="spellStart"/>
                  <w:r w:rsidRPr="001C02F9">
                    <w:rPr>
                      <w:rFonts w:cs="Arial"/>
                      <w:lang w:val="en-GB"/>
                    </w:rPr>
                    <w:t>Postholder</w:t>
                  </w:r>
                  <w:proofErr w:type="spellEnd"/>
                  <w:r w:rsidRPr="001C02F9">
                    <w:rPr>
                      <w:rFonts w:cs="Arial"/>
                      <w:lang w:val="en-GB"/>
                    </w:rPr>
                    <w:t>: …………………</w:t>
                  </w:r>
                </w:p>
              </w:tc>
              <w:tc>
                <w:tcPr>
                  <w:tcW w:w="3207" w:type="dxa"/>
                  <w:gridSpan w:val="2"/>
                  <w:shd w:val="clear" w:color="auto" w:fill="auto"/>
                </w:tcPr>
                <w:p w:rsidR="001C02F9" w:rsidRPr="001C02F9" w:rsidRDefault="001C02F9" w:rsidP="001C02F9">
                  <w:pPr>
                    <w:rPr>
                      <w:rFonts w:cs="Arial"/>
                      <w:lang w:val="en-GB"/>
                    </w:rPr>
                  </w:pPr>
                  <w:r w:rsidRPr="001C02F9">
                    <w:rPr>
                      <w:rFonts w:cs="Arial"/>
                      <w:lang w:val="en-GB"/>
                    </w:rPr>
                    <w:t>Date: …………..</w:t>
                  </w:r>
                </w:p>
              </w:tc>
            </w:tr>
          </w:tbl>
          <w:p w:rsidR="001C02F9" w:rsidRPr="004E640D" w:rsidRDefault="001C02F9" w:rsidP="00BD7C44">
            <w:pPr>
              <w:rPr>
                <w:rFonts w:cs="Arial"/>
                <w:lang w:val="en-GB"/>
              </w:rPr>
            </w:pPr>
          </w:p>
          <w:p w:rsidR="000A08AB" w:rsidRPr="001C02F9" w:rsidRDefault="00BD7C44" w:rsidP="00BD7C44">
            <w:pPr>
              <w:rPr>
                <w:rFonts w:cs="Arial"/>
                <w:b/>
                <w:sz w:val="22"/>
                <w:szCs w:val="22"/>
                <w:lang w:val="en-GB"/>
              </w:rPr>
            </w:pPr>
            <w:r w:rsidRPr="004E640D">
              <w:rPr>
                <w:rFonts w:cs="Arial"/>
                <w:b/>
                <w:sz w:val="22"/>
                <w:szCs w:val="22"/>
                <w:lang w:val="en-GB"/>
              </w:rPr>
              <w:t>This is a description of the job as it is presently constructed and it will be reviewed periodically and updated to ensure it fully reflects the duties of the job.</w:t>
            </w:r>
          </w:p>
        </w:tc>
      </w:tr>
    </w:tbl>
    <w:p w:rsidR="00C56F57" w:rsidRPr="00EA1C3C" w:rsidRDefault="00C56F57" w:rsidP="00BD7C44">
      <w:pPr>
        <w:rPr>
          <w:lang w:val="en-GB"/>
        </w:rPr>
      </w:pPr>
    </w:p>
    <w:sectPr w:rsidR="00C56F57" w:rsidRPr="00EA1C3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D2D" w:rsidRDefault="00CF0D2D">
      <w:r>
        <w:separator/>
      </w:r>
    </w:p>
  </w:endnote>
  <w:endnote w:type="continuationSeparator" w:id="0">
    <w:p w:rsidR="00CF0D2D" w:rsidRDefault="00CF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69" w:rsidRDefault="008F13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2F9" w:rsidRPr="001C02F9" w:rsidRDefault="001C02F9" w:rsidP="001C02F9">
    <w:pPr>
      <w:pStyle w:val="Footer"/>
      <w:rPr>
        <w:rFonts w:cs="Arial"/>
        <w:sz w:val="20"/>
      </w:rPr>
    </w:pPr>
  </w:p>
  <w:tbl>
    <w:tblPr>
      <w:tblW w:w="0" w:type="auto"/>
      <w:tblCellMar>
        <w:top w:w="113" w:type="dxa"/>
      </w:tblCellMar>
      <w:tblLook w:val="0000" w:firstRow="0" w:lastRow="0" w:firstColumn="0" w:lastColumn="0" w:noHBand="0" w:noVBand="0"/>
    </w:tblPr>
    <w:tblGrid>
      <w:gridCol w:w="3017"/>
      <w:gridCol w:w="2890"/>
      <w:gridCol w:w="2949"/>
    </w:tblGrid>
    <w:tr w:rsidR="001C02F9" w:rsidRPr="001C02F9" w:rsidTr="000D272A">
      <w:trPr>
        <w:trHeight w:val="283"/>
      </w:trPr>
      <w:tc>
        <w:tcPr>
          <w:tcW w:w="3284" w:type="dxa"/>
        </w:tcPr>
        <w:p w:rsidR="001C02F9" w:rsidRPr="001C02F9" w:rsidRDefault="001C02F9" w:rsidP="001C02F9">
          <w:pPr>
            <w:tabs>
              <w:tab w:val="center" w:pos="4153"/>
              <w:tab w:val="right" w:pos="8306"/>
            </w:tabs>
            <w:rPr>
              <w:iCs/>
              <w:color w:val="4472C4"/>
              <w:sz w:val="20"/>
              <w:lang w:val="en-GB"/>
            </w:rPr>
          </w:pPr>
          <w:r>
            <w:rPr>
              <w:iCs/>
              <w:color w:val="4472C4"/>
              <w:sz w:val="20"/>
              <w:lang w:val="en-GB"/>
            </w:rPr>
            <w:t>Job Description</w:t>
          </w:r>
        </w:p>
      </w:tc>
      <w:tc>
        <w:tcPr>
          <w:tcW w:w="3285" w:type="dxa"/>
        </w:tcPr>
        <w:p w:rsidR="001C02F9" w:rsidRPr="001C02F9" w:rsidRDefault="001C02F9" w:rsidP="001C02F9">
          <w:pPr>
            <w:tabs>
              <w:tab w:val="center" w:pos="4153"/>
              <w:tab w:val="right" w:pos="8306"/>
            </w:tabs>
            <w:jc w:val="center"/>
            <w:rPr>
              <w:iCs/>
              <w:color w:val="4472C4"/>
              <w:sz w:val="20"/>
              <w:lang w:val="en-GB"/>
            </w:rPr>
          </w:pPr>
        </w:p>
      </w:tc>
      <w:tc>
        <w:tcPr>
          <w:tcW w:w="3285" w:type="dxa"/>
        </w:tcPr>
        <w:p w:rsidR="001C02F9" w:rsidRPr="001C02F9" w:rsidRDefault="001C02F9" w:rsidP="001C02F9">
          <w:pPr>
            <w:tabs>
              <w:tab w:val="center" w:pos="4153"/>
              <w:tab w:val="right" w:pos="8306"/>
            </w:tabs>
            <w:jc w:val="right"/>
            <w:rPr>
              <w:iCs/>
              <w:color w:val="4472C4"/>
              <w:sz w:val="20"/>
              <w:lang w:val="en-GB"/>
            </w:rPr>
          </w:pPr>
          <w:r w:rsidRPr="001C02F9">
            <w:rPr>
              <w:iCs/>
              <w:color w:val="4472C4"/>
              <w:sz w:val="20"/>
            </w:rPr>
            <w:t xml:space="preserve">Page </w:t>
          </w:r>
          <w:r w:rsidRPr="001C02F9">
            <w:rPr>
              <w:iCs/>
              <w:color w:val="4472C4"/>
              <w:sz w:val="20"/>
            </w:rPr>
            <w:fldChar w:fldCharType="begin"/>
          </w:r>
          <w:r w:rsidRPr="001C02F9">
            <w:rPr>
              <w:iCs/>
              <w:color w:val="4472C4"/>
              <w:sz w:val="20"/>
            </w:rPr>
            <w:instrText xml:space="preserve"> PAGE </w:instrText>
          </w:r>
          <w:r w:rsidRPr="001C02F9">
            <w:rPr>
              <w:iCs/>
              <w:color w:val="4472C4"/>
              <w:sz w:val="20"/>
            </w:rPr>
            <w:fldChar w:fldCharType="separate"/>
          </w:r>
          <w:r w:rsidR="00D873E5">
            <w:rPr>
              <w:iCs/>
              <w:noProof/>
              <w:color w:val="4472C4"/>
              <w:sz w:val="20"/>
            </w:rPr>
            <w:t>1</w:t>
          </w:r>
          <w:r w:rsidRPr="001C02F9">
            <w:rPr>
              <w:iCs/>
              <w:color w:val="4472C4"/>
              <w:sz w:val="20"/>
            </w:rPr>
            <w:fldChar w:fldCharType="end"/>
          </w:r>
          <w:r w:rsidRPr="001C02F9">
            <w:rPr>
              <w:iCs/>
              <w:color w:val="4472C4"/>
              <w:sz w:val="20"/>
            </w:rPr>
            <w:t xml:space="preserve"> of </w:t>
          </w:r>
          <w:r w:rsidRPr="001C02F9">
            <w:rPr>
              <w:iCs/>
              <w:color w:val="4472C4"/>
              <w:sz w:val="20"/>
            </w:rPr>
            <w:fldChar w:fldCharType="begin"/>
          </w:r>
          <w:r w:rsidRPr="001C02F9">
            <w:rPr>
              <w:iCs/>
              <w:color w:val="4472C4"/>
              <w:sz w:val="20"/>
            </w:rPr>
            <w:instrText xml:space="preserve"> NUMPAGES </w:instrText>
          </w:r>
          <w:r w:rsidRPr="001C02F9">
            <w:rPr>
              <w:iCs/>
              <w:color w:val="4472C4"/>
              <w:sz w:val="20"/>
            </w:rPr>
            <w:fldChar w:fldCharType="separate"/>
          </w:r>
          <w:r w:rsidR="00D873E5">
            <w:rPr>
              <w:iCs/>
              <w:noProof/>
              <w:color w:val="4472C4"/>
              <w:sz w:val="20"/>
            </w:rPr>
            <w:t>3</w:t>
          </w:r>
          <w:r w:rsidRPr="001C02F9">
            <w:rPr>
              <w:iCs/>
              <w:color w:val="4472C4"/>
              <w:sz w:val="20"/>
            </w:rPr>
            <w:fldChar w:fldCharType="end"/>
          </w:r>
        </w:p>
      </w:tc>
    </w:tr>
  </w:tbl>
  <w:p w:rsidR="001C02F9" w:rsidRPr="001C02F9" w:rsidRDefault="001C02F9" w:rsidP="001C02F9">
    <w:pPr>
      <w:pStyle w:val="Footer"/>
      <w:jc w:val="right"/>
      <w:rPr>
        <w:color w:val="4472C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69" w:rsidRDefault="008F1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D2D" w:rsidRDefault="00CF0D2D">
      <w:r>
        <w:separator/>
      </w:r>
    </w:p>
  </w:footnote>
  <w:footnote w:type="continuationSeparator" w:id="0">
    <w:p w:rsidR="00CF0D2D" w:rsidRDefault="00CF0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69" w:rsidRDefault="008F13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038" w:rsidRPr="003B1711" w:rsidRDefault="000F3038" w:rsidP="000F3038">
    <w:pPr>
      <w:pStyle w:val="Header"/>
      <w:jc w:val="right"/>
      <w:rPr>
        <w:rFonts w:ascii="Calibri" w:hAnsi="Calibri" w:cs="Arial"/>
        <w:b/>
        <w:color w:val="006600"/>
        <w:szCs w:val="20"/>
        <w:lang w:val="en-GB"/>
      </w:rPr>
    </w:pPr>
    <w:r w:rsidRPr="003B1711">
      <w:rPr>
        <w:rFonts w:cs="Arial"/>
        <w:b/>
        <w:color w:val="006600"/>
        <w:szCs w:val="20"/>
      </w:rPr>
      <w:t>Okehampton Medical Centre</w:t>
    </w:r>
  </w:p>
  <w:p w:rsidR="00EA1C3C" w:rsidRPr="00E74C3F" w:rsidRDefault="00EA1C3C" w:rsidP="00E74C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69" w:rsidRDefault="008F13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56D"/>
    <w:multiLevelType w:val="hybridMultilevel"/>
    <w:tmpl w:val="8D7AE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5E573E"/>
    <w:multiLevelType w:val="hybridMultilevel"/>
    <w:tmpl w:val="0D86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F57"/>
    <w:rsid w:val="0008791E"/>
    <w:rsid w:val="000A08AB"/>
    <w:rsid w:val="000C340B"/>
    <w:rsid w:val="000D272A"/>
    <w:rsid w:val="000F3038"/>
    <w:rsid w:val="00130457"/>
    <w:rsid w:val="00190B49"/>
    <w:rsid w:val="001C02F9"/>
    <w:rsid w:val="00252E66"/>
    <w:rsid w:val="00277673"/>
    <w:rsid w:val="002A4ADB"/>
    <w:rsid w:val="002A65B0"/>
    <w:rsid w:val="002F1E59"/>
    <w:rsid w:val="002F27E4"/>
    <w:rsid w:val="003B1711"/>
    <w:rsid w:val="0044374B"/>
    <w:rsid w:val="004C5654"/>
    <w:rsid w:val="004E640D"/>
    <w:rsid w:val="004E6DE8"/>
    <w:rsid w:val="0059746D"/>
    <w:rsid w:val="005C24C4"/>
    <w:rsid w:val="005E686C"/>
    <w:rsid w:val="005F3A2D"/>
    <w:rsid w:val="00602E32"/>
    <w:rsid w:val="006146AF"/>
    <w:rsid w:val="006625E2"/>
    <w:rsid w:val="00710EF6"/>
    <w:rsid w:val="007314A1"/>
    <w:rsid w:val="00771A87"/>
    <w:rsid w:val="00780ECD"/>
    <w:rsid w:val="007D186A"/>
    <w:rsid w:val="007D4071"/>
    <w:rsid w:val="00846A1D"/>
    <w:rsid w:val="0088483B"/>
    <w:rsid w:val="008F1369"/>
    <w:rsid w:val="009506E8"/>
    <w:rsid w:val="009D192F"/>
    <w:rsid w:val="00A33BB4"/>
    <w:rsid w:val="00A515F4"/>
    <w:rsid w:val="00AB7E45"/>
    <w:rsid w:val="00AC7011"/>
    <w:rsid w:val="00AF5455"/>
    <w:rsid w:val="00B643E8"/>
    <w:rsid w:val="00B712D0"/>
    <w:rsid w:val="00B74953"/>
    <w:rsid w:val="00BA6022"/>
    <w:rsid w:val="00BD7C44"/>
    <w:rsid w:val="00C06CE8"/>
    <w:rsid w:val="00C56F57"/>
    <w:rsid w:val="00C93AB1"/>
    <w:rsid w:val="00CF0D2D"/>
    <w:rsid w:val="00D873E5"/>
    <w:rsid w:val="00D97293"/>
    <w:rsid w:val="00DA4BE4"/>
    <w:rsid w:val="00DA7779"/>
    <w:rsid w:val="00E13085"/>
    <w:rsid w:val="00E67365"/>
    <w:rsid w:val="00E74C3F"/>
    <w:rsid w:val="00EA1C3C"/>
    <w:rsid w:val="00EA3D51"/>
    <w:rsid w:val="00EA43CF"/>
    <w:rsid w:val="00EC63F3"/>
    <w:rsid w:val="00F81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02F9"/>
    <w:rPr>
      <w:rFonts w:ascii="Arial" w:hAnsi="Arial"/>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D7C44"/>
    <w:pPr>
      <w:tabs>
        <w:tab w:val="center" w:pos="4320"/>
        <w:tab w:val="right" w:pos="8640"/>
      </w:tabs>
    </w:pPr>
  </w:style>
  <w:style w:type="paragraph" w:styleId="Footer">
    <w:name w:val="footer"/>
    <w:basedOn w:val="Normal"/>
    <w:link w:val="FooterChar"/>
    <w:uiPriority w:val="99"/>
    <w:rsid w:val="00BD7C44"/>
    <w:pPr>
      <w:tabs>
        <w:tab w:val="center" w:pos="4320"/>
        <w:tab w:val="right" w:pos="8640"/>
      </w:tabs>
    </w:pPr>
  </w:style>
  <w:style w:type="character" w:customStyle="1" w:styleId="HeaderChar">
    <w:name w:val="Header Char"/>
    <w:link w:val="Header"/>
    <w:rsid w:val="00E74C3F"/>
    <w:rPr>
      <w:sz w:val="24"/>
      <w:szCs w:val="24"/>
    </w:rPr>
  </w:style>
  <w:style w:type="character" w:customStyle="1" w:styleId="FooterChar">
    <w:name w:val="Footer Char"/>
    <w:link w:val="Footer"/>
    <w:uiPriority w:val="99"/>
    <w:rsid w:val="001C02F9"/>
    <w:rPr>
      <w:sz w:val="24"/>
      <w:szCs w:val="24"/>
      <w:lang w:val="en-US" w:eastAsia="en-US"/>
    </w:rPr>
  </w:style>
  <w:style w:type="paragraph" w:styleId="ListParagraph">
    <w:name w:val="List Paragraph"/>
    <w:basedOn w:val="Normal"/>
    <w:uiPriority w:val="34"/>
    <w:qFormat/>
    <w:rsid w:val="0027767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02F9"/>
    <w:rPr>
      <w:rFonts w:ascii="Arial" w:hAnsi="Arial"/>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D7C44"/>
    <w:pPr>
      <w:tabs>
        <w:tab w:val="center" w:pos="4320"/>
        <w:tab w:val="right" w:pos="8640"/>
      </w:tabs>
    </w:pPr>
  </w:style>
  <w:style w:type="paragraph" w:styleId="Footer">
    <w:name w:val="footer"/>
    <w:basedOn w:val="Normal"/>
    <w:link w:val="FooterChar"/>
    <w:uiPriority w:val="99"/>
    <w:rsid w:val="00BD7C44"/>
    <w:pPr>
      <w:tabs>
        <w:tab w:val="center" w:pos="4320"/>
        <w:tab w:val="right" w:pos="8640"/>
      </w:tabs>
    </w:pPr>
  </w:style>
  <w:style w:type="character" w:customStyle="1" w:styleId="HeaderChar">
    <w:name w:val="Header Char"/>
    <w:link w:val="Header"/>
    <w:rsid w:val="00E74C3F"/>
    <w:rPr>
      <w:sz w:val="24"/>
      <w:szCs w:val="24"/>
    </w:rPr>
  </w:style>
  <w:style w:type="character" w:customStyle="1" w:styleId="FooterChar">
    <w:name w:val="Footer Char"/>
    <w:link w:val="Footer"/>
    <w:uiPriority w:val="99"/>
    <w:rsid w:val="001C02F9"/>
    <w:rPr>
      <w:sz w:val="24"/>
      <w:szCs w:val="24"/>
      <w:lang w:val="en-US" w:eastAsia="en-US"/>
    </w:rPr>
  </w:style>
  <w:style w:type="paragraph" w:styleId="ListParagraph">
    <w:name w:val="List Paragraph"/>
    <w:basedOn w:val="Normal"/>
    <w:uiPriority w:val="34"/>
    <w:qFormat/>
    <w:rsid w:val="0027767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832272">
      <w:bodyDiv w:val="1"/>
      <w:marLeft w:val="0"/>
      <w:marRight w:val="0"/>
      <w:marTop w:val="0"/>
      <w:marBottom w:val="0"/>
      <w:divBdr>
        <w:top w:val="none" w:sz="0" w:space="0" w:color="auto"/>
        <w:left w:val="none" w:sz="0" w:space="0" w:color="auto"/>
        <w:bottom w:val="none" w:sz="0" w:space="0" w:color="auto"/>
        <w:right w:val="none" w:sz="0" w:space="0" w:color="auto"/>
      </w:divBdr>
    </w:div>
    <w:div w:id="126237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05720-A527-4DB3-B9EE-058F39BA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487</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Peter Jones ILG</vt:lpstr>
    </vt:vector>
  </TitlesOfParts>
  <Company>-</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Jones ILG</dc:title>
  <dc:creator>Eleanor Turner</dc:creator>
  <cp:lastModifiedBy>Kiran Bakhshi</cp:lastModifiedBy>
  <cp:revision>3</cp:revision>
  <cp:lastPrinted>2006-09-06T13:29:00Z</cp:lastPrinted>
  <dcterms:created xsi:type="dcterms:W3CDTF">2021-06-22T09:10:00Z</dcterms:created>
  <dcterms:modified xsi:type="dcterms:W3CDTF">2021-06-22T09:24:00Z</dcterms:modified>
</cp:coreProperties>
</file>