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996C" w14:textId="77777777" w:rsidR="00EB5DE2" w:rsidRPr="00547824" w:rsidRDefault="00EB5DE2" w:rsidP="00EB5DE2">
      <w:pPr>
        <w:pStyle w:val="Title"/>
        <w:jc w:val="both"/>
        <w:rPr>
          <w:rFonts w:ascii="Candara" w:hAnsi="Candara"/>
          <w:sz w:val="32"/>
          <w:szCs w:val="32"/>
          <w:u w:val="none"/>
        </w:rPr>
      </w:pPr>
    </w:p>
    <w:p w14:paraId="03247804" w14:textId="77777777" w:rsidR="00EB5DE2" w:rsidRPr="00547824" w:rsidRDefault="00EB5DE2" w:rsidP="00EB5DE2">
      <w:pPr>
        <w:pStyle w:val="Header"/>
        <w:jc w:val="center"/>
        <w:rPr>
          <w:rFonts w:ascii="Calibri" w:eastAsia="Calibri" w:hAnsi="Calibri"/>
          <w:color w:val="4472C4"/>
          <w:sz w:val="32"/>
          <w:szCs w:val="32"/>
        </w:rPr>
      </w:pPr>
      <w:r w:rsidRPr="00547824">
        <w:rPr>
          <w:rFonts w:ascii="Calibri" w:eastAsia="Calibri" w:hAnsi="Calibri"/>
          <w:color w:val="92D050"/>
          <w:sz w:val="32"/>
          <w:szCs w:val="32"/>
        </w:rPr>
        <w:t>T</w:t>
      </w:r>
      <w:r w:rsidRPr="00547824">
        <w:rPr>
          <w:rFonts w:ascii="Calibri" w:eastAsia="Calibri" w:hAnsi="Calibri"/>
          <w:color w:val="4472C4"/>
          <w:sz w:val="32"/>
          <w:szCs w:val="32"/>
        </w:rPr>
        <w:t xml:space="preserve">CHVS </w:t>
      </w:r>
    </w:p>
    <w:p w14:paraId="291CD246" w14:textId="77777777" w:rsidR="00EB5DE2" w:rsidRPr="00547824" w:rsidRDefault="00EB5DE2" w:rsidP="00EB5DE2">
      <w:pPr>
        <w:pStyle w:val="Header"/>
        <w:jc w:val="center"/>
        <w:rPr>
          <w:sz w:val="32"/>
          <w:szCs w:val="32"/>
        </w:rPr>
      </w:pPr>
      <w:r w:rsidRPr="00547824">
        <w:rPr>
          <w:rFonts w:ascii="Calibri" w:eastAsia="Calibri" w:hAnsi="Calibri"/>
          <w:color w:val="92D050"/>
          <w:sz w:val="32"/>
          <w:szCs w:val="32"/>
        </w:rPr>
        <w:t xml:space="preserve">TORBAY </w:t>
      </w:r>
      <w:r w:rsidRPr="00547824">
        <w:rPr>
          <w:rFonts w:ascii="Calibri" w:eastAsia="Calibri" w:hAnsi="Calibri"/>
          <w:color w:val="0070C0"/>
          <w:sz w:val="32"/>
          <w:szCs w:val="32"/>
        </w:rPr>
        <w:t>CARE HOME VISITING SERVICE</w:t>
      </w:r>
      <w:r w:rsidRPr="00547824">
        <w:rPr>
          <w:rFonts w:ascii="Calibri" w:eastAsia="Calibri" w:hAnsi="Calibri"/>
          <w:sz w:val="32"/>
          <w:szCs w:val="32"/>
        </w:rPr>
        <w:t xml:space="preserve">                                                                                                  </w:t>
      </w:r>
    </w:p>
    <w:p w14:paraId="51BB9056" w14:textId="77777777" w:rsidR="00EB5DE2" w:rsidRPr="00614C04" w:rsidRDefault="00EB5DE2" w:rsidP="00EB5DE2">
      <w:pPr>
        <w:pStyle w:val="Title"/>
        <w:jc w:val="both"/>
        <w:rPr>
          <w:rFonts w:ascii="Candara" w:hAnsi="Candara"/>
          <w:sz w:val="22"/>
          <w:szCs w:val="22"/>
          <w:u w:val="none"/>
        </w:rPr>
      </w:pPr>
    </w:p>
    <w:p w14:paraId="239D19F9" w14:textId="77777777" w:rsidR="00EB5DE2" w:rsidRPr="00614C04" w:rsidRDefault="00EB5DE2" w:rsidP="00EB5DE2">
      <w:pPr>
        <w:pStyle w:val="Title"/>
        <w:jc w:val="both"/>
        <w:rPr>
          <w:rFonts w:ascii="Candara" w:hAnsi="Candara"/>
          <w:sz w:val="22"/>
          <w:szCs w:val="22"/>
          <w:u w:val="none"/>
        </w:rPr>
      </w:pPr>
    </w:p>
    <w:p w14:paraId="5CFA1A0E" w14:textId="6192DF25" w:rsidR="00EB5DE2" w:rsidRPr="00614C04" w:rsidRDefault="00EB5DE2" w:rsidP="00EB5DE2">
      <w:pPr>
        <w:tabs>
          <w:tab w:val="left" w:pos="0"/>
        </w:tabs>
        <w:ind w:left="2880" w:hanging="2880"/>
        <w:jc w:val="both"/>
        <w:rPr>
          <w:rFonts w:ascii="Candara" w:hAnsi="Candara" w:cs="Tahoma"/>
          <w:b/>
        </w:rPr>
      </w:pPr>
      <w:r w:rsidRPr="00614C04">
        <w:rPr>
          <w:rFonts w:ascii="Candara" w:hAnsi="Candara" w:cs="Tahoma"/>
          <w:b/>
        </w:rPr>
        <w:t>Job Title:</w:t>
      </w:r>
      <w:r>
        <w:rPr>
          <w:rFonts w:ascii="Candara" w:hAnsi="Candara" w:cs="Tahoma"/>
          <w:b/>
        </w:rPr>
        <w:tab/>
      </w:r>
      <w:r w:rsidR="00306EB8">
        <w:rPr>
          <w:rFonts w:ascii="Candara" w:hAnsi="Candara" w:cs="Tahoma"/>
          <w:b/>
        </w:rPr>
        <w:t>GP</w:t>
      </w:r>
      <w:r>
        <w:rPr>
          <w:rFonts w:ascii="Candara" w:hAnsi="Candara" w:cs="Tahoma"/>
          <w:b/>
        </w:rPr>
        <w:t xml:space="preserve"> with interest in Care Home Medicine</w:t>
      </w:r>
      <w:r w:rsidR="00306EB8">
        <w:rPr>
          <w:rFonts w:ascii="Candara" w:hAnsi="Candara" w:cs="Tahoma"/>
          <w:b/>
        </w:rPr>
        <w:t xml:space="preserve">, </w:t>
      </w:r>
      <w:proofErr w:type="gramStart"/>
      <w:r>
        <w:rPr>
          <w:rFonts w:ascii="Candara" w:hAnsi="Candara" w:cs="Tahoma"/>
          <w:b/>
        </w:rPr>
        <w:t>Frailty</w:t>
      </w:r>
      <w:proofErr w:type="gramEnd"/>
      <w:r w:rsidR="00306EB8">
        <w:rPr>
          <w:rFonts w:ascii="Candara" w:hAnsi="Candara" w:cs="Tahoma"/>
          <w:b/>
        </w:rPr>
        <w:t xml:space="preserve"> and multi-disciplinary working</w:t>
      </w:r>
    </w:p>
    <w:p w14:paraId="01C6788F" w14:textId="77777777" w:rsidR="00EB5DE2" w:rsidRPr="00614C04" w:rsidRDefault="00EB5DE2" w:rsidP="00EB5DE2">
      <w:pPr>
        <w:tabs>
          <w:tab w:val="left" w:pos="0"/>
        </w:tabs>
        <w:jc w:val="both"/>
        <w:rPr>
          <w:rFonts w:ascii="Candara" w:hAnsi="Candara" w:cs="Tahoma"/>
          <w:b/>
        </w:rPr>
      </w:pPr>
    </w:p>
    <w:p w14:paraId="5157C635" w14:textId="4F8066A0" w:rsidR="00EB5DE2" w:rsidRDefault="00EB5DE2" w:rsidP="00EB5DE2">
      <w:pPr>
        <w:tabs>
          <w:tab w:val="left" w:pos="0"/>
        </w:tabs>
        <w:jc w:val="both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Hours:</w:t>
      </w:r>
      <w:r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</w:r>
      <w:r w:rsidR="006B59B2">
        <w:rPr>
          <w:rFonts w:ascii="Candara" w:hAnsi="Candara" w:cs="Tahoma"/>
          <w:b/>
        </w:rPr>
        <w:t>2- 6 sessions</w:t>
      </w:r>
    </w:p>
    <w:p w14:paraId="2F5BB400" w14:textId="161DF23C" w:rsidR="00EB5DE2" w:rsidRDefault="00EB5DE2" w:rsidP="00EB5DE2">
      <w:pPr>
        <w:tabs>
          <w:tab w:val="left" w:pos="0"/>
        </w:tabs>
        <w:jc w:val="both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Pay:</w:t>
      </w:r>
      <w:r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  <w:t>Dependent on experience</w:t>
      </w:r>
    </w:p>
    <w:p w14:paraId="15E2A4A4" w14:textId="32D2EDF0" w:rsidR="006B59B2" w:rsidRDefault="006B59B2" w:rsidP="00EB5DE2">
      <w:pPr>
        <w:tabs>
          <w:tab w:val="left" w:pos="0"/>
        </w:tabs>
        <w:jc w:val="both"/>
        <w:rPr>
          <w:rFonts w:ascii="Candara" w:hAnsi="Candara" w:cs="Tahoma"/>
          <w:b/>
        </w:rPr>
      </w:pPr>
    </w:p>
    <w:p w14:paraId="2BDE1D51" w14:textId="77777777" w:rsidR="006B59B2" w:rsidRPr="00614C04" w:rsidRDefault="006B59B2" w:rsidP="006B59B2">
      <w:pPr>
        <w:tabs>
          <w:tab w:val="left" w:pos="0"/>
        </w:tabs>
        <w:jc w:val="both"/>
        <w:rPr>
          <w:rFonts w:ascii="Candara" w:hAnsi="Candara" w:cs="Tahoma"/>
          <w:b/>
        </w:rPr>
      </w:pPr>
      <w:r w:rsidRPr="00614C04">
        <w:rPr>
          <w:rFonts w:ascii="Candara" w:hAnsi="Candara" w:cs="Tahoma"/>
          <w:b/>
        </w:rPr>
        <w:t>Responsible To</w:t>
      </w:r>
      <w:r w:rsidRPr="00614C04"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</w:r>
      <w:r w:rsidRPr="00614C04">
        <w:rPr>
          <w:rFonts w:ascii="Candara" w:hAnsi="Candara" w:cs="Tahoma"/>
          <w:b/>
        </w:rPr>
        <w:t>:</w:t>
      </w:r>
      <w:r w:rsidRPr="00614C04"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>TCHVS Clinical Lead</w:t>
      </w:r>
      <w:r w:rsidRPr="00614C04">
        <w:rPr>
          <w:rFonts w:ascii="Candara" w:hAnsi="Candara" w:cs="Tahoma"/>
          <w:b/>
        </w:rPr>
        <w:t xml:space="preserve"> Clinically</w:t>
      </w:r>
    </w:p>
    <w:p w14:paraId="031765FA" w14:textId="77777777" w:rsidR="006B59B2" w:rsidRPr="00614C04" w:rsidRDefault="006B59B2" w:rsidP="006B59B2">
      <w:pPr>
        <w:tabs>
          <w:tab w:val="left" w:pos="0"/>
        </w:tabs>
        <w:jc w:val="both"/>
        <w:rPr>
          <w:rFonts w:ascii="Candara" w:hAnsi="Candara" w:cs="Tahoma"/>
          <w:b/>
        </w:rPr>
      </w:pPr>
      <w:r w:rsidRPr="00614C04">
        <w:rPr>
          <w:rFonts w:ascii="Candara" w:hAnsi="Candara" w:cs="Tahoma"/>
          <w:b/>
        </w:rPr>
        <w:tab/>
      </w:r>
      <w:r w:rsidRPr="00614C04">
        <w:rPr>
          <w:rFonts w:ascii="Candara" w:hAnsi="Candara" w:cs="Tahoma"/>
          <w:b/>
        </w:rPr>
        <w:tab/>
      </w:r>
      <w:r w:rsidRPr="00614C04">
        <w:rPr>
          <w:rFonts w:ascii="Candara" w:hAnsi="Candara" w:cs="Tahoma"/>
          <w:b/>
        </w:rPr>
        <w:tab/>
      </w:r>
      <w:r w:rsidRPr="00614C04"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>TCHVS Operational Lead</w:t>
      </w:r>
      <w:r w:rsidRPr="00614C04">
        <w:rPr>
          <w:rFonts w:ascii="Candara" w:hAnsi="Candara" w:cs="Tahoma"/>
          <w:b/>
        </w:rPr>
        <w:t xml:space="preserve"> Administratively</w:t>
      </w:r>
    </w:p>
    <w:p w14:paraId="6C15282F" w14:textId="77777777" w:rsidR="00EB5DE2" w:rsidRDefault="00EB5DE2" w:rsidP="00EB5DE2">
      <w:pPr>
        <w:tabs>
          <w:tab w:val="left" w:pos="0"/>
        </w:tabs>
        <w:jc w:val="both"/>
        <w:rPr>
          <w:rFonts w:ascii="Candara" w:hAnsi="Candara" w:cs="Tahoma"/>
          <w:b/>
        </w:rPr>
      </w:pPr>
    </w:p>
    <w:p w14:paraId="02B37828" w14:textId="77777777" w:rsidR="00EB5DE2" w:rsidRDefault="00EB5DE2" w:rsidP="00EB5DE2">
      <w:pPr>
        <w:tabs>
          <w:tab w:val="left" w:pos="0"/>
        </w:tabs>
        <w:jc w:val="both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Location:</w:t>
      </w:r>
      <w:r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  <w:t>Mayfield Medical Centre, Paignton</w:t>
      </w:r>
    </w:p>
    <w:p w14:paraId="3A154B5B" w14:textId="77777777" w:rsidR="00EB5DE2" w:rsidRPr="00614C04" w:rsidRDefault="00EB5DE2" w:rsidP="00EB5DE2">
      <w:pPr>
        <w:jc w:val="both"/>
        <w:rPr>
          <w:rFonts w:ascii="Candara" w:hAnsi="Candara" w:cs="Tahoma"/>
        </w:rPr>
      </w:pPr>
      <w:r w:rsidRPr="00614C04">
        <w:rPr>
          <w:rFonts w:ascii="Candara" w:hAnsi="Candara" w:cs="Tahoma"/>
        </w:rPr>
        <w:t>_____________________________________________________________________________</w:t>
      </w:r>
    </w:p>
    <w:p w14:paraId="5DF8BE12" w14:textId="77777777" w:rsidR="00EB5DE2" w:rsidRPr="00614C04" w:rsidRDefault="00EB5DE2" w:rsidP="00EB5DE2">
      <w:pPr>
        <w:jc w:val="both"/>
        <w:rPr>
          <w:rFonts w:ascii="Candara" w:hAnsi="Candara" w:cs="Tahoma"/>
        </w:rPr>
      </w:pPr>
    </w:p>
    <w:p w14:paraId="2AA0AB7B" w14:textId="69688B26" w:rsidR="00EB5DE2" w:rsidRPr="00DE1C0C" w:rsidRDefault="006B59B2" w:rsidP="00EB5DE2">
      <w:pPr>
        <w:pStyle w:val="NormalWeb"/>
        <w:shd w:val="clear" w:color="auto" w:fill="FFFFFF"/>
        <w:rPr>
          <w:rFonts w:ascii="Calibri" w:hAnsi="Calibri" w:cs="Calibri"/>
          <w:bCs/>
          <w:color w:val="222222"/>
          <w:sz w:val="22"/>
          <w:szCs w:val="22"/>
        </w:rPr>
      </w:pPr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We </w:t>
      </w:r>
      <w:r>
        <w:rPr>
          <w:rFonts w:ascii="Calibri" w:hAnsi="Calibri" w:cs="Calibri"/>
          <w:bCs/>
          <w:color w:val="000000"/>
          <w:sz w:val="22"/>
          <w:szCs w:val="22"/>
        </w:rPr>
        <w:t>have an exciting opportunity</w:t>
      </w:r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for a new GP with a</w:t>
      </w:r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n interest in elderly care and </w:t>
      </w:r>
      <w:proofErr w:type="gramStart"/>
      <w:r w:rsidRPr="00DE1C0C">
        <w:rPr>
          <w:rFonts w:ascii="Calibri" w:hAnsi="Calibri" w:cs="Calibri"/>
          <w:bCs/>
          <w:color w:val="000000"/>
          <w:sz w:val="22"/>
          <w:szCs w:val="22"/>
        </w:rPr>
        <w:t>multidisciplinary</w:t>
      </w:r>
      <w:r>
        <w:rPr>
          <w:rFonts w:ascii="Calibri" w:hAnsi="Calibri" w:cs="Calibri"/>
          <w:bCs/>
          <w:color w:val="000000"/>
          <w:sz w:val="22"/>
          <w:szCs w:val="22"/>
        </w:rPr>
        <w:t>-</w:t>
      </w:r>
      <w:r w:rsidRPr="00DE1C0C">
        <w:rPr>
          <w:rFonts w:ascii="Calibri" w:hAnsi="Calibri" w:cs="Calibri"/>
          <w:bCs/>
          <w:color w:val="000000"/>
          <w:sz w:val="22"/>
          <w:szCs w:val="22"/>
        </w:rPr>
        <w:t>team</w:t>
      </w:r>
      <w:proofErr w:type="gramEnd"/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 working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to join </w:t>
      </w:r>
      <w:r w:rsidR="00EB5DE2" w:rsidRPr="00DE1C0C">
        <w:rPr>
          <w:rFonts w:ascii="Calibri" w:hAnsi="Calibri" w:cs="Calibri"/>
          <w:bCs/>
          <w:sz w:val="22"/>
          <w:szCs w:val="22"/>
        </w:rPr>
        <w:t>Torbay Care Home Visiting Service (TCHVS)</w:t>
      </w:r>
      <w:r>
        <w:rPr>
          <w:rFonts w:ascii="Calibri" w:hAnsi="Calibri" w:cs="Calibri"/>
          <w:bCs/>
          <w:sz w:val="22"/>
          <w:szCs w:val="22"/>
        </w:rPr>
        <w:t>.  We are</w:t>
      </w:r>
      <w:r w:rsidR="00EB5DE2" w:rsidRPr="00DE1C0C">
        <w:rPr>
          <w:rFonts w:ascii="Calibri" w:hAnsi="Calibri" w:cs="Calibri"/>
          <w:bCs/>
          <w:sz w:val="22"/>
          <w:szCs w:val="22"/>
        </w:rPr>
        <w:t xml:space="preserve"> a collaborative multi-disciplinary service providing acute and proactive Primary Care to our large Care Home population </w:t>
      </w:r>
      <w:r w:rsidR="00EB5DE2">
        <w:rPr>
          <w:rFonts w:ascii="Calibri" w:hAnsi="Calibri" w:cs="Calibri"/>
          <w:bCs/>
          <w:sz w:val="22"/>
          <w:szCs w:val="22"/>
        </w:rPr>
        <w:t>i</w:t>
      </w:r>
      <w:r w:rsidR="00EB5DE2" w:rsidRPr="00DE1C0C">
        <w:rPr>
          <w:rFonts w:ascii="Calibri" w:hAnsi="Calibri" w:cs="Calibri"/>
          <w:bCs/>
          <w:sz w:val="22"/>
          <w:szCs w:val="22"/>
        </w:rPr>
        <w:t xml:space="preserve">n Torbay.  </w:t>
      </w:r>
      <w:r>
        <w:rPr>
          <w:rFonts w:ascii="Calibri" w:hAnsi="Calibri" w:cs="Calibri"/>
          <w:bCs/>
          <w:sz w:val="22"/>
          <w:szCs w:val="22"/>
        </w:rPr>
        <w:t>We have more time to deliver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in-depth preventative care including advance care planning, deprescribing and frailty identification, as well as managing acute problems as they arise.</w:t>
      </w:r>
    </w:p>
    <w:p w14:paraId="70DF5995" w14:textId="77777777" w:rsidR="00EB5DE2" w:rsidRPr="00DE1C0C" w:rsidRDefault="00EB5DE2" w:rsidP="00EB5DE2">
      <w:pPr>
        <w:tabs>
          <w:tab w:val="left" w:pos="0"/>
        </w:tabs>
        <w:jc w:val="both"/>
        <w:rPr>
          <w:rFonts w:ascii="Calibri" w:hAnsi="Calibri" w:cs="Calibri"/>
          <w:bCs/>
        </w:rPr>
      </w:pPr>
      <w:r w:rsidRPr="00DE1C0C">
        <w:rPr>
          <w:rFonts w:ascii="Calibri" w:hAnsi="Calibri" w:cs="Calibri"/>
          <w:bCs/>
        </w:rPr>
        <w:t>We deliver four main workstreams</w:t>
      </w:r>
      <w:r>
        <w:rPr>
          <w:rFonts w:ascii="Calibri" w:hAnsi="Calibri" w:cs="Calibri"/>
          <w:bCs/>
        </w:rPr>
        <w:t xml:space="preserve"> on behalf of the 10 Torbay GP practices</w:t>
      </w:r>
      <w:r w:rsidRPr="00DE1C0C">
        <w:rPr>
          <w:rFonts w:ascii="Calibri" w:hAnsi="Calibri" w:cs="Calibri"/>
          <w:bCs/>
        </w:rPr>
        <w:t>:</w:t>
      </w:r>
    </w:p>
    <w:p w14:paraId="437CA968" w14:textId="77777777" w:rsidR="00EB5DE2" w:rsidRPr="00DE1C0C" w:rsidRDefault="00EB5DE2" w:rsidP="00EB5DE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bCs/>
        </w:rPr>
      </w:pPr>
      <w:r w:rsidRPr="00DE1C0C">
        <w:rPr>
          <w:rFonts w:ascii="Calibri" w:hAnsi="Calibri" w:cs="Calibri"/>
          <w:bCs/>
        </w:rPr>
        <w:t>An acute medical service to 34 homes</w:t>
      </w:r>
    </w:p>
    <w:p w14:paraId="207BD36C" w14:textId="77777777" w:rsidR="00EB5DE2" w:rsidRDefault="00EB5DE2" w:rsidP="00EB5DE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bCs/>
        </w:rPr>
      </w:pPr>
      <w:r w:rsidRPr="00DE1C0C">
        <w:rPr>
          <w:rFonts w:ascii="Calibri" w:hAnsi="Calibri" w:cs="Calibri"/>
          <w:bCs/>
        </w:rPr>
        <w:t xml:space="preserve">The Enhanced Health in Care Homes (EHCH) PCN DES </w:t>
      </w:r>
      <w:r w:rsidRPr="000A5D67">
        <w:rPr>
          <w:rFonts w:ascii="Calibri" w:hAnsi="Calibri" w:cs="Calibri"/>
          <w:bCs/>
        </w:rPr>
        <w:t>to 84 care homes</w:t>
      </w:r>
      <w:r w:rsidRPr="00DE1C0C">
        <w:rPr>
          <w:rFonts w:ascii="Calibri" w:hAnsi="Calibri" w:cs="Calibri"/>
          <w:bCs/>
        </w:rPr>
        <w:t xml:space="preserve">, incorporating weekly home rounds, medication reviews and care planning </w:t>
      </w:r>
    </w:p>
    <w:p w14:paraId="496AAB81" w14:textId="77777777" w:rsidR="00EB5DE2" w:rsidRPr="008F36DA" w:rsidRDefault="00EB5DE2" w:rsidP="00EB5DE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bCs/>
        </w:rPr>
      </w:pPr>
      <w:r w:rsidRPr="00DE1C0C">
        <w:rPr>
          <w:rFonts w:ascii="Calibri" w:hAnsi="Calibri" w:cs="Calibri"/>
          <w:bCs/>
        </w:rPr>
        <w:t xml:space="preserve">A weekly Multidisciplinary Team meeting </w:t>
      </w:r>
    </w:p>
    <w:p w14:paraId="1C424277" w14:textId="77777777" w:rsidR="00EB5DE2" w:rsidRPr="00DE1C0C" w:rsidRDefault="00EB5DE2" w:rsidP="00EB5DE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bCs/>
        </w:rPr>
      </w:pPr>
      <w:r w:rsidRPr="00DE1C0C">
        <w:rPr>
          <w:rFonts w:ascii="Calibri" w:hAnsi="Calibri" w:cs="Calibri"/>
          <w:bCs/>
        </w:rPr>
        <w:t xml:space="preserve">Medical support for our Intermediate Care Team </w:t>
      </w:r>
    </w:p>
    <w:p w14:paraId="34FC9776" w14:textId="5BADC0F4" w:rsidR="00EB5DE2" w:rsidRPr="00DE1C0C" w:rsidRDefault="006B59B2" w:rsidP="00EB5DE2">
      <w:pPr>
        <w:pStyle w:val="NormalWeb"/>
        <w:shd w:val="clear" w:color="auto" w:fill="FFFFFF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You </w:t>
      </w:r>
      <w:r w:rsidR="00EB5DE2" w:rsidRPr="00DE1C0C">
        <w:rPr>
          <w:rFonts w:ascii="Calibri" w:hAnsi="Calibri" w:cs="Calibri"/>
          <w:bCs/>
          <w:color w:val="000000"/>
          <w:sz w:val="22"/>
          <w:szCs w:val="22"/>
        </w:rPr>
        <w:t xml:space="preserve">will be working flexibly across all four workstreams, but with </w:t>
      </w:r>
      <w:proofErr w:type="gramStart"/>
      <w:r w:rsidR="00EB5DE2" w:rsidRPr="00DE1C0C">
        <w:rPr>
          <w:rFonts w:ascii="Calibri" w:hAnsi="Calibri" w:cs="Calibri"/>
          <w:bCs/>
          <w:color w:val="000000"/>
          <w:sz w:val="22"/>
          <w:szCs w:val="22"/>
        </w:rPr>
        <w:t>a main focus</w:t>
      </w:r>
      <w:proofErr w:type="gramEnd"/>
      <w:r w:rsidR="00EB5DE2" w:rsidRPr="00DE1C0C">
        <w:rPr>
          <w:rFonts w:ascii="Calibri" w:hAnsi="Calibri" w:cs="Calibri"/>
          <w:bCs/>
          <w:color w:val="000000"/>
          <w:sz w:val="22"/>
          <w:szCs w:val="22"/>
        </w:rPr>
        <w:t xml:space="preserve"> on the acute visiting side of the service.  </w:t>
      </w:r>
      <w:r>
        <w:rPr>
          <w:rFonts w:ascii="Calibri" w:hAnsi="Calibri" w:cs="Calibri"/>
          <w:bCs/>
          <w:color w:val="000000"/>
          <w:sz w:val="22"/>
          <w:szCs w:val="22"/>
        </w:rPr>
        <w:t>As well as reviewing patients, you will be providing clinical advice to multi-disciplinary colleagues in the team, and medical support to our Intermediate Care colleagues.</w:t>
      </w:r>
    </w:p>
    <w:p w14:paraId="594B679A" w14:textId="1DEB9212" w:rsidR="00EB5DE2" w:rsidRPr="00DE1C0C" w:rsidRDefault="00EB5DE2" w:rsidP="00EB5DE2">
      <w:pPr>
        <w:pStyle w:val="NormalWeb"/>
        <w:shd w:val="clear" w:color="auto" w:fill="FFFFFF"/>
        <w:rPr>
          <w:rFonts w:ascii="Calibri" w:hAnsi="Calibri" w:cs="Calibri"/>
          <w:bCs/>
          <w:color w:val="000000"/>
          <w:sz w:val="22"/>
          <w:szCs w:val="22"/>
        </w:rPr>
      </w:pPr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You will be working from our TCHVS hub in Paignton, together with </w:t>
      </w:r>
      <w:r w:rsidR="006B59B2">
        <w:rPr>
          <w:rFonts w:ascii="Calibri" w:hAnsi="Calibri" w:cs="Calibri"/>
          <w:bCs/>
          <w:color w:val="000000"/>
          <w:sz w:val="22"/>
          <w:szCs w:val="22"/>
        </w:rPr>
        <w:t>other</w:t>
      </w:r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 GP</w:t>
      </w:r>
      <w:r w:rsidR="006B59B2">
        <w:rPr>
          <w:rFonts w:ascii="Calibri" w:hAnsi="Calibri" w:cs="Calibri"/>
          <w:bCs/>
          <w:color w:val="000000"/>
          <w:sz w:val="22"/>
          <w:szCs w:val="22"/>
        </w:rPr>
        <w:t>s</w:t>
      </w:r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proofErr w:type="gramStart"/>
      <w:r w:rsidRPr="00DE1C0C">
        <w:rPr>
          <w:rFonts w:ascii="Calibri" w:hAnsi="Calibri" w:cs="Calibri"/>
          <w:bCs/>
          <w:color w:val="000000"/>
          <w:sz w:val="22"/>
          <w:szCs w:val="22"/>
        </w:rPr>
        <w:t>pharmac</w:t>
      </w:r>
      <w:r w:rsidR="006B59B2">
        <w:rPr>
          <w:rFonts w:ascii="Calibri" w:hAnsi="Calibri" w:cs="Calibri"/>
          <w:bCs/>
          <w:color w:val="000000"/>
          <w:sz w:val="22"/>
          <w:szCs w:val="22"/>
        </w:rPr>
        <w:t>ists</w:t>
      </w:r>
      <w:proofErr w:type="gramEnd"/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 and </w:t>
      </w:r>
      <w:r w:rsidRPr="000A5D67">
        <w:rPr>
          <w:rFonts w:ascii="Calibri" w:hAnsi="Calibri" w:cs="Calibri"/>
          <w:bCs/>
          <w:color w:val="000000"/>
          <w:sz w:val="22"/>
          <w:szCs w:val="22"/>
        </w:rPr>
        <w:t>ope</w:t>
      </w:r>
      <w:r w:rsidR="006B59B2">
        <w:rPr>
          <w:rFonts w:ascii="Calibri" w:hAnsi="Calibri" w:cs="Calibri"/>
          <w:bCs/>
          <w:color w:val="000000"/>
          <w:sz w:val="22"/>
          <w:szCs w:val="22"/>
        </w:rPr>
        <w:t>rational</w:t>
      </w:r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B59B2">
        <w:rPr>
          <w:rFonts w:ascii="Calibri" w:hAnsi="Calibri" w:cs="Calibri"/>
          <w:bCs/>
          <w:color w:val="000000"/>
          <w:sz w:val="22"/>
          <w:szCs w:val="22"/>
        </w:rPr>
        <w:t>team</w:t>
      </w:r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.  You will work closely with our Care Home colleagues- using telephone triage, video consults and face-to-face visiting to </w:t>
      </w:r>
      <w:r>
        <w:rPr>
          <w:rFonts w:ascii="Calibri" w:hAnsi="Calibri" w:cs="Calibri"/>
          <w:bCs/>
          <w:color w:val="000000"/>
          <w:sz w:val="22"/>
          <w:szCs w:val="22"/>
        </w:rPr>
        <w:t>assess</w:t>
      </w:r>
      <w:r w:rsidRPr="00DE1C0C">
        <w:rPr>
          <w:rFonts w:ascii="Calibri" w:hAnsi="Calibri" w:cs="Calibri"/>
          <w:bCs/>
          <w:color w:val="000000"/>
          <w:sz w:val="22"/>
          <w:szCs w:val="22"/>
        </w:rPr>
        <w:t xml:space="preserve"> patients.  </w:t>
      </w:r>
      <w:r w:rsidR="006B59B2">
        <w:rPr>
          <w:rFonts w:ascii="Calibri" w:hAnsi="Calibri" w:cs="Calibri"/>
          <w:bCs/>
          <w:color w:val="000000"/>
          <w:sz w:val="22"/>
          <w:szCs w:val="22"/>
        </w:rPr>
        <w:t>You will have full access to EMIS records for all 10 Torbay practices to enable electronic prescribing, contemporaneous note taking and full review of a patient’s medical history.  Experience in managing frailty, dementia and end of life care will be beneficial.</w:t>
      </w:r>
    </w:p>
    <w:p w14:paraId="3CD261B4" w14:textId="59D33B1E" w:rsidR="00EB5DE2" w:rsidRPr="000A5D67" w:rsidRDefault="00EB5DE2" w:rsidP="00EB5DE2">
      <w:pPr>
        <w:pStyle w:val="NormalWeb"/>
        <w:shd w:val="clear" w:color="auto" w:fill="FFFFFF"/>
        <w:rPr>
          <w:rFonts w:ascii="Calibri" w:hAnsi="Calibri" w:cs="Calibri"/>
          <w:bCs/>
          <w:color w:val="000000"/>
          <w:sz w:val="22"/>
          <w:szCs w:val="22"/>
        </w:rPr>
      </w:pPr>
      <w:r w:rsidRPr="000A5D67">
        <w:rPr>
          <w:rFonts w:ascii="Calibri" w:hAnsi="Calibri" w:cs="Calibri"/>
          <w:bCs/>
          <w:color w:val="000000"/>
          <w:sz w:val="22"/>
          <w:szCs w:val="22"/>
        </w:rPr>
        <w:t>You will be encouraged to attend and participate in our weekly MDT meetings with colleagues from across primary care, community teams and secondary care.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Pr="00DE1C0C">
        <w:rPr>
          <w:rFonts w:ascii="Calibri" w:hAnsi="Calibri" w:cs="Calibri"/>
          <w:bCs/>
          <w:color w:val="000000"/>
          <w:sz w:val="22"/>
          <w:szCs w:val="22"/>
        </w:rPr>
        <w:t>We actively promote development within the team to further your skills and expertise, particularly in relation to frailty, dementia care, end of life care and advance care planning.</w:t>
      </w:r>
    </w:p>
    <w:p w14:paraId="6DFAF94D" w14:textId="77777777" w:rsidR="00EB5DE2" w:rsidRPr="00DE1C0C" w:rsidRDefault="00EB5DE2" w:rsidP="00EB5DE2">
      <w:pPr>
        <w:pStyle w:val="NormalWeb"/>
        <w:shd w:val="clear" w:color="auto" w:fill="FFFFFF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For more </w:t>
      </w: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>information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please contact the TCHVS Clinical Lead </w:t>
      </w:r>
      <w:hyperlink r:id="rId5" w:history="1">
        <w:r w:rsidRPr="00216FD2">
          <w:rPr>
            <w:rStyle w:val="Hyperlink"/>
            <w:rFonts w:ascii="Calibri" w:hAnsi="Calibri" w:cs="Calibri"/>
            <w:bCs/>
            <w:sz w:val="22"/>
            <w:szCs w:val="22"/>
          </w:rPr>
          <w:t>Katharine.bhatt@nhs.net</w:t>
        </w:r>
      </w:hyperlink>
      <w:r>
        <w:rPr>
          <w:rFonts w:ascii="Calibri" w:hAnsi="Calibri" w:cs="Calibri"/>
          <w:bCs/>
          <w:color w:val="000000"/>
          <w:sz w:val="22"/>
          <w:szCs w:val="22"/>
        </w:rPr>
        <w:t xml:space="preserve"> or TCHVS Operational Lead </w:t>
      </w:r>
      <w:hyperlink r:id="rId6" w:history="1">
        <w:r w:rsidRPr="00216FD2">
          <w:rPr>
            <w:rStyle w:val="Hyperlink"/>
            <w:rFonts w:ascii="Calibri" w:hAnsi="Calibri" w:cs="Calibri"/>
            <w:bCs/>
            <w:sz w:val="22"/>
            <w:szCs w:val="22"/>
          </w:rPr>
          <w:t>Jane.Wilks@nhs.net</w:t>
        </w:r>
      </w:hyperlink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0C2D9365" w14:textId="10E83F4C" w:rsidR="00352FA1" w:rsidRDefault="00E76F0C"/>
    <w:sectPr w:rsidR="00352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223"/>
    <w:multiLevelType w:val="hybridMultilevel"/>
    <w:tmpl w:val="199E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5EFD"/>
    <w:multiLevelType w:val="hybridMultilevel"/>
    <w:tmpl w:val="AE32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3A74"/>
    <w:multiLevelType w:val="hybridMultilevel"/>
    <w:tmpl w:val="4554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7443"/>
    <w:multiLevelType w:val="multilevel"/>
    <w:tmpl w:val="EB3C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71887"/>
    <w:multiLevelType w:val="hybridMultilevel"/>
    <w:tmpl w:val="704C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3E61"/>
    <w:multiLevelType w:val="hybridMultilevel"/>
    <w:tmpl w:val="753AD42E"/>
    <w:lvl w:ilvl="0" w:tplc="0809000F">
      <w:start w:val="1"/>
      <w:numFmt w:val="decimal"/>
      <w:lvlText w:val="%1."/>
      <w:lvlJc w:val="left"/>
      <w:pPr>
        <w:ind w:left="323" w:hanging="360"/>
      </w:pPr>
    </w:lvl>
    <w:lvl w:ilvl="1" w:tplc="08090019" w:tentative="1">
      <w:start w:val="1"/>
      <w:numFmt w:val="lowerLetter"/>
      <w:lvlText w:val="%2."/>
      <w:lvlJc w:val="left"/>
      <w:pPr>
        <w:ind w:left="1043" w:hanging="360"/>
      </w:p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</w:lvl>
    <w:lvl w:ilvl="3" w:tplc="0809000F" w:tentative="1">
      <w:start w:val="1"/>
      <w:numFmt w:val="decimal"/>
      <w:lvlText w:val="%4."/>
      <w:lvlJc w:val="left"/>
      <w:pPr>
        <w:ind w:left="2483" w:hanging="360"/>
      </w:p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</w:lvl>
    <w:lvl w:ilvl="6" w:tplc="0809000F" w:tentative="1">
      <w:start w:val="1"/>
      <w:numFmt w:val="decimal"/>
      <w:lvlText w:val="%7."/>
      <w:lvlJc w:val="left"/>
      <w:pPr>
        <w:ind w:left="4643" w:hanging="360"/>
      </w:p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" w15:restartNumberingAfterBreak="0">
    <w:nsid w:val="2D8215A6"/>
    <w:multiLevelType w:val="multilevel"/>
    <w:tmpl w:val="896C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B349B"/>
    <w:multiLevelType w:val="multilevel"/>
    <w:tmpl w:val="B96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9098A"/>
    <w:multiLevelType w:val="hybridMultilevel"/>
    <w:tmpl w:val="4E22E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59B8"/>
    <w:multiLevelType w:val="hybridMultilevel"/>
    <w:tmpl w:val="4BA69788"/>
    <w:lvl w:ilvl="0" w:tplc="BC581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64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82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06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A8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CB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AC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2B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A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66BC5"/>
    <w:multiLevelType w:val="hybridMultilevel"/>
    <w:tmpl w:val="1452F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677D"/>
    <w:multiLevelType w:val="multilevel"/>
    <w:tmpl w:val="F5C4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A3A83"/>
    <w:multiLevelType w:val="hybridMultilevel"/>
    <w:tmpl w:val="DDB2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82BA8"/>
    <w:multiLevelType w:val="hybridMultilevel"/>
    <w:tmpl w:val="E9E47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D3533B"/>
    <w:multiLevelType w:val="hybridMultilevel"/>
    <w:tmpl w:val="B008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D2100"/>
    <w:multiLevelType w:val="hybridMultilevel"/>
    <w:tmpl w:val="4C74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91812"/>
    <w:multiLevelType w:val="hybridMultilevel"/>
    <w:tmpl w:val="239A10E6"/>
    <w:lvl w:ilvl="0" w:tplc="84B6ADF6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36A4D"/>
    <w:multiLevelType w:val="multilevel"/>
    <w:tmpl w:val="EB3C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14"/>
  </w:num>
  <w:num w:numId="10">
    <w:abstractNumId w:val="17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  <w:num w:numId="17">
    <w:abstractNumId w:val="4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E2"/>
    <w:rsid w:val="00306EB8"/>
    <w:rsid w:val="006A2AEB"/>
    <w:rsid w:val="006B59B2"/>
    <w:rsid w:val="00B92D17"/>
    <w:rsid w:val="00E76F0C"/>
    <w:rsid w:val="00EB5DE2"/>
    <w:rsid w:val="00F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8C64"/>
  <w15:chartTrackingRefBased/>
  <w15:docId w15:val="{CBA02468-1EF1-47AC-802A-5F3B6D8F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E2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6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DE2"/>
    <w:rPr>
      <w:rFonts w:ascii="Comic Sans MS" w:eastAsia="Times New Roman" w:hAnsi="Comic Sans MS" w:cs="Times New Roman"/>
    </w:rPr>
  </w:style>
  <w:style w:type="paragraph" w:styleId="Title">
    <w:name w:val="Title"/>
    <w:basedOn w:val="Normal"/>
    <w:link w:val="TitleChar"/>
    <w:qFormat/>
    <w:rsid w:val="00EB5DE2"/>
    <w:pPr>
      <w:jc w:val="center"/>
    </w:pPr>
    <w:rPr>
      <w:rFonts w:ascii="Tahoma" w:hAnsi="Tahoma" w:cs="Tahoma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B5DE2"/>
    <w:rPr>
      <w:rFonts w:ascii="Tahoma" w:eastAsia="Times New Roman" w:hAnsi="Tahoma" w:cs="Tahoma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EB5D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EB5D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F95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95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Wilks@nhs.net" TargetMode="External"/><Relationship Id="rId5" Type="http://schemas.openxmlformats.org/officeDocument/2006/relationships/hyperlink" Target="mailto:Katharine.bhatt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4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</dc:creator>
  <cp:keywords/>
  <dc:description/>
  <cp:lastModifiedBy>Hannah Baxter</cp:lastModifiedBy>
  <cp:revision>2</cp:revision>
  <dcterms:created xsi:type="dcterms:W3CDTF">2021-06-29T11:59:00Z</dcterms:created>
  <dcterms:modified xsi:type="dcterms:W3CDTF">2021-06-29T11:59:00Z</dcterms:modified>
</cp:coreProperties>
</file>