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210F51" w14:textId="77777777" w:rsidR="00F37C0F" w:rsidRPr="006A73AF" w:rsidRDefault="00F37C0F" w:rsidP="00F37C0F">
      <w:pPr>
        <w:spacing w:after="0"/>
        <w:jc w:val="center"/>
        <w:rPr>
          <w:rFonts w:cstheme="minorHAnsi"/>
          <w:b/>
          <w:sz w:val="24"/>
          <w:szCs w:val="24"/>
        </w:rPr>
      </w:pPr>
      <w:r w:rsidRPr="006A73AF">
        <w:rPr>
          <w:rFonts w:cstheme="minorHAnsi"/>
          <w:b/>
          <w:sz w:val="24"/>
          <w:szCs w:val="24"/>
        </w:rPr>
        <w:t>Care Co-ordinator</w:t>
      </w:r>
    </w:p>
    <w:p w14:paraId="05557A4F" w14:textId="77777777" w:rsidR="00F37C0F" w:rsidRPr="006A73AF" w:rsidRDefault="00F37C0F" w:rsidP="00F37C0F">
      <w:pPr>
        <w:spacing w:after="0"/>
        <w:jc w:val="center"/>
        <w:rPr>
          <w:rFonts w:cstheme="minorHAnsi"/>
          <w:b/>
          <w:sz w:val="24"/>
          <w:szCs w:val="24"/>
        </w:rPr>
      </w:pPr>
      <w:r w:rsidRPr="006A73AF">
        <w:rPr>
          <w:rFonts w:cstheme="minorHAnsi"/>
          <w:b/>
          <w:sz w:val="24"/>
          <w:szCs w:val="24"/>
        </w:rPr>
        <w:t>Torquay Primary Care Network</w:t>
      </w:r>
    </w:p>
    <w:p w14:paraId="3B41E11F" w14:textId="77777777" w:rsidR="00F37C0F" w:rsidRPr="006A73AF" w:rsidRDefault="00F37C0F" w:rsidP="00F37C0F">
      <w:pPr>
        <w:spacing w:after="0"/>
        <w:jc w:val="center"/>
        <w:rPr>
          <w:rFonts w:cstheme="minorHAnsi"/>
          <w:b/>
          <w:sz w:val="24"/>
          <w:szCs w:val="24"/>
        </w:rPr>
      </w:pPr>
      <w:r w:rsidRPr="006A73AF">
        <w:rPr>
          <w:rFonts w:cstheme="minorHAnsi"/>
          <w:b/>
          <w:sz w:val="24"/>
          <w:szCs w:val="24"/>
        </w:rPr>
        <w:t>Job Description/Person Specification</w:t>
      </w:r>
    </w:p>
    <w:p w14:paraId="6966337B" w14:textId="77777777" w:rsidR="00F37C0F" w:rsidRPr="006A73AF" w:rsidRDefault="00F37C0F" w:rsidP="00F37C0F">
      <w:pPr>
        <w:shd w:val="clear" w:color="auto" w:fill="FFFFFF"/>
        <w:spacing w:after="0" w:line="360" w:lineRule="atLeast"/>
        <w:rPr>
          <w:rFonts w:eastAsia="Times New Roman" w:cstheme="minorHAnsi"/>
          <w:b/>
          <w:bCs/>
          <w:color w:val="333333"/>
          <w:sz w:val="24"/>
          <w:szCs w:val="24"/>
          <w:bdr w:val="none" w:sz="0" w:space="0" w:color="auto" w:frame="1"/>
          <w:lang w:eastAsia="en-GB"/>
        </w:rPr>
      </w:pPr>
    </w:p>
    <w:p w14:paraId="10D1F1FE" w14:textId="77777777" w:rsidR="00F37C0F" w:rsidRPr="006A73AF" w:rsidRDefault="00F37C0F" w:rsidP="00F37C0F">
      <w:pPr>
        <w:shd w:val="clear" w:color="auto" w:fill="FFFFFF"/>
        <w:spacing w:after="0" w:line="360" w:lineRule="atLeast"/>
        <w:rPr>
          <w:rFonts w:eastAsia="Times New Roman" w:cstheme="minorHAnsi"/>
          <w:b/>
          <w:bCs/>
          <w:color w:val="333333"/>
          <w:sz w:val="24"/>
          <w:szCs w:val="24"/>
          <w:bdr w:val="none" w:sz="0" w:space="0" w:color="auto" w:frame="1"/>
          <w:lang w:eastAsia="en-GB"/>
        </w:rPr>
      </w:pPr>
    </w:p>
    <w:p w14:paraId="613D5DDC" w14:textId="77777777" w:rsidR="00F37C0F" w:rsidRPr="006A73AF" w:rsidRDefault="00F37C0F" w:rsidP="00F37C0F">
      <w:pPr>
        <w:shd w:val="clear" w:color="auto" w:fill="FFFFFF"/>
        <w:spacing w:after="0" w:line="360" w:lineRule="atLeast"/>
        <w:rPr>
          <w:rFonts w:eastAsia="Times New Roman" w:cstheme="minorHAnsi"/>
          <w:b/>
          <w:bCs/>
          <w:color w:val="333333"/>
          <w:sz w:val="24"/>
          <w:szCs w:val="24"/>
          <w:bdr w:val="none" w:sz="0" w:space="0" w:color="auto" w:frame="1"/>
          <w:lang w:eastAsia="en-GB"/>
        </w:rPr>
      </w:pPr>
      <w:r w:rsidRPr="006A73AF">
        <w:rPr>
          <w:rFonts w:eastAsia="Times New Roman" w:cstheme="minorHAnsi"/>
          <w:b/>
          <w:bCs/>
          <w:color w:val="333333"/>
          <w:sz w:val="24"/>
          <w:szCs w:val="24"/>
          <w:bdr w:val="none" w:sz="0" w:space="0" w:color="auto" w:frame="1"/>
          <w:lang w:eastAsia="en-GB"/>
        </w:rPr>
        <w:t>Job overview</w:t>
      </w:r>
    </w:p>
    <w:p w14:paraId="0A46B0CB" w14:textId="77777777" w:rsidR="00F37C0F" w:rsidRPr="006A73AF" w:rsidRDefault="00F37C0F" w:rsidP="00F37C0F">
      <w:pPr>
        <w:shd w:val="clear" w:color="auto" w:fill="FFFFFF"/>
        <w:spacing w:after="0" w:line="360" w:lineRule="atLeast"/>
        <w:rPr>
          <w:rFonts w:eastAsia="Times New Roman" w:cstheme="minorHAnsi"/>
          <w:color w:val="333333"/>
          <w:sz w:val="24"/>
          <w:szCs w:val="24"/>
          <w:lang w:eastAsia="en-GB"/>
        </w:rPr>
      </w:pPr>
    </w:p>
    <w:p w14:paraId="54F9167D" w14:textId="77777777" w:rsidR="00B253F5" w:rsidRPr="006A73AF" w:rsidRDefault="00F37C0F" w:rsidP="00F37C0F">
      <w:pPr>
        <w:shd w:val="clear" w:color="auto" w:fill="FFFFFF"/>
        <w:spacing w:after="225" w:line="360" w:lineRule="atLeast"/>
        <w:rPr>
          <w:sz w:val="24"/>
          <w:szCs w:val="24"/>
        </w:rPr>
      </w:pPr>
      <w:r w:rsidRPr="006A73AF">
        <w:rPr>
          <w:sz w:val="24"/>
          <w:szCs w:val="24"/>
        </w:rPr>
        <w:t>This is an exciting opportunity to join Torquay Primary Care Network</w:t>
      </w:r>
      <w:r w:rsidR="00B87A38" w:rsidRPr="006A73AF">
        <w:rPr>
          <w:sz w:val="24"/>
          <w:szCs w:val="24"/>
        </w:rPr>
        <w:t xml:space="preserve"> (PCN) as a Care-Co-ordinator. </w:t>
      </w:r>
    </w:p>
    <w:p w14:paraId="72E0A2D5" w14:textId="77777777" w:rsidR="00B87A38" w:rsidRPr="006A73AF" w:rsidRDefault="00B87A38" w:rsidP="00F37C0F">
      <w:pPr>
        <w:shd w:val="clear" w:color="auto" w:fill="FFFFFF"/>
        <w:spacing w:after="225" w:line="360" w:lineRule="atLeast"/>
        <w:rPr>
          <w:sz w:val="24"/>
          <w:szCs w:val="24"/>
        </w:rPr>
      </w:pPr>
      <w:r w:rsidRPr="006A73AF">
        <w:rPr>
          <w:sz w:val="24"/>
          <w:szCs w:val="24"/>
        </w:rPr>
        <w:t xml:space="preserve">As PCN Care Coordinator you will work as a key part of the </w:t>
      </w:r>
      <w:r w:rsidR="00A678C6" w:rsidRPr="006A73AF">
        <w:rPr>
          <w:sz w:val="24"/>
          <w:szCs w:val="24"/>
        </w:rPr>
        <w:t>PCN</w:t>
      </w:r>
      <w:r w:rsidRPr="006A73AF">
        <w:rPr>
          <w:sz w:val="24"/>
          <w:szCs w:val="24"/>
        </w:rPr>
        <w:t xml:space="preserve"> multi-disciplinary team.</w:t>
      </w:r>
      <w:r w:rsidR="00B253F5" w:rsidRPr="006A73AF">
        <w:rPr>
          <w:sz w:val="24"/>
          <w:szCs w:val="24"/>
        </w:rPr>
        <w:t xml:space="preserve"> You</w:t>
      </w:r>
      <w:r w:rsidR="00F37C0F" w:rsidRPr="006A73AF">
        <w:rPr>
          <w:sz w:val="24"/>
          <w:szCs w:val="24"/>
        </w:rPr>
        <w:t xml:space="preserve"> will co-ordinate the work of healthcare professionals and non-clinical staff including volunteers involved in the care of patients registered at GP practices </w:t>
      </w:r>
      <w:r w:rsidR="00B253F5" w:rsidRPr="006A73AF">
        <w:rPr>
          <w:sz w:val="24"/>
          <w:szCs w:val="24"/>
        </w:rPr>
        <w:t xml:space="preserve">within the wider PCN population, ensuring care is seamless. </w:t>
      </w:r>
    </w:p>
    <w:p w14:paraId="2ED3B506" w14:textId="77777777" w:rsidR="00B87A38" w:rsidRPr="006A73AF" w:rsidRDefault="00B253F5" w:rsidP="00B253F5">
      <w:pPr>
        <w:shd w:val="clear" w:color="auto" w:fill="FFFFFF"/>
        <w:spacing w:after="225" w:line="360" w:lineRule="atLeast"/>
        <w:rPr>
          <w:sz w:val="24"/>
          <w:szCs w:val="24"/>
        </w:rPr>
      </w:pPr>
      <w:r w:rsidRPr="006A73AF">
        <w:rPr>
          <w:sz w:val="24"/>
          <w:szCs w:val="24"/>
        </w:rPr>
        <w:t xml:space="preserve">You will provide the capacity and expertise to support patients in preparing for or in following-up clinical conversations they have with PCN primary care professionals. </w:t>
      </w:r>
      <w:r w:rsidR="00B87A38" w:rsidRPr="006A73AF">
        <w:rPr>
          <w:sz w:val="24"/>
          <w:szCs w:val="24"/>
        </w:rPr>
        <w:t>Acting with confidentiality at all times, the Care Coordinator will be caring and empathetic and will be extremely motivated by helping people.</w:t>
      </w:r>
    </w:p>
    <w:p w14:paraId="0AD47389" w14:textId="77777777" w:rsidR="00B253F5" w:rsidRPr="006A73AF" w:rsidRDefault="00B253F5" w:rsidP="00B253F5">
      <w:pPr>
        <w:shd w:val="clear" w:color="auto" w:fill="FFFFFF"/>
        <w:spacing w:after="225" w:line="360" w:lineRule="atLeast"/>
        <w:rPr>
          <w:sz w:val="24"/>
          <w:szCs w:val="24"/>
        </w:rPr>
      </w:pPr>
      <w:r w:rsidRPr="006A73AF">
        <w:rPr>
          <w:sz w:val="24"/>
          <w:szCs w:val="24"/>
        </w:rPr>
        <w:t>Your role is a key part of our growing and progressive PCN, working to provide an enhanced care experience with a view to improving health inequalities.</w:t>
      </w:r>
    </w:p>
    <w:p w14:paraId="136105C5" w14:textId="77777777" w:rsidR="00B87A38" w:rsidRPr="006A73AF" w:rsidRDefault="00B87A38" w:rsidP="00B87A38">
      <w:pPr>
        <w:shd w:val="clear" w:color="auto" w:fill="FFFFFF"/>
        <w:spacing w:after="0" w:line="240" w:lineRule="auto"/>
        <w:rPr>
          <w:sz w:val="24"/>
          <w:szCs w:val="24"/>
        </w:rPr>
      </w:pPr>
      <w:r w:rsidRPr="006A73AF">
        <w:rPr>
          <w:sz w:val="24"/>
          <w:szCs w:val="24"/>
        </w:rPr>
        <w:t xml:space="preserve">This role </w:t>
      </w:r>
      <w:r w:rsidR="00A678C6" w:rsidRPr="006A73AF">
        <w:rPr>
          <w:sz w:val="24"/>
          <w:szCs w:val="24"/>
        </w:rPr>
        <w:t>involves</w:t>
      </w:r>
      <w:r w:rsidRPr="006A73AF">
        <w:rPr>
          <w:sz w:val="24"/>
          <w:szCs w:val="24"/>
        </w:rPr>
        <w:t xml:space="preserve"> an element of travel between PCN sites when required. </w:t>
      </w:r>
    </w:p>
    <w:p w14:paraId="0C27167C" w14:textId="77777777" w:rsidR="00B253F5" w:rsidRPr="006A73AF" w:rsidRDefault="00B253F5" w:rsidP="00B87A38">
      <w:pPr>
        <w:shd w:val="clear" w:color="auto" w:fill="FFFFFF"/>
        <w:spacing w:after="0" w:line="240" w:lineRule="auto"/>
        <w:rPr>
          <w:sz w:val="24"/>
          <w:szCs w:val="24"/>
        </w:rPr>
      </w:pPr>
    </w:p>
    <w:p w14:paraId="52964433" w14:textId="77777777" w:rsidR="00B253F5" w:rsidRPr="006A73AF" w:rsidRDefault="00B253F5" w:rsidP="00B87A38">
      <w:pPr>
        <w:shd w:val="clear" w:color="auto" w:fill="FFFFFF"/>
        <w:spacing w:after="0" w:line="240" w:lineRule="auto"/>
        <w:rPr>
          <w:b/>
          <w:sz w:val="24"/>
          <w:szCs w:val="24"/>
        </w:rPr>
      </w:pPr>
      <w:r w:rsidRPr="006A73AF">
        <w:rPr>
          <w:b/>
          <w:sz w:val="24"/>
          <w:szCs w:val="24"/>
        </w:rPr>
        <w:t>About Us</w:t>
      </w:r>
    </w:p>
    <w:p w14:paraId="69C3385C" w14:textId="77777777" w:rsidR="00B253F5" w:rsidRPr="006A73AF" w:rsidRDefault="00B253F5" w:rsidP="00B87A38">
      <w:pPr>
        <w:shd w:val="clear" w:color="auto" w:fill="FFFFFF"/>
        <w:spacing w:after="0" w:line="240" w:lineRule="auto"/>
        <w:rPr>
          <w:sz w:val="24"/>
          <w:szCs w:val="24"/>
        </w:rPr>
      </w:pPr>
    </w:p>
    <w:p w14:paraId="0156077A" w14:textId="77777777" w:rsidR="00B253F5" w:rsidRPr="006A73AF" w:rsidRDefault="00B253F5" w:rsidP="00B87A38">
      <w:pPr>
        <w:shd w:val="clear" w:color="auto" w:fill="FFFFFF"/>
        <w:spacing w:after="0" w:line="240" w:lineRule="auto"/>
        <w:rPr>
          <w:sz w:val="24"/>
          <w:szCs w:val="24"/>
        </w:rPr>
      </w:pPr>
      <w:r w:rsidRPr="006A73AF">
        <w:rPr>
          <w:sz w:val="24"/>
          <w:szCs w:val="24"/>
        </w:rPr>
        <w:t xml:space="preserve">Our PCN is comprised of 4 Practices, which includes Brunel Medical Practice, Croft Hall, Chelston Hall and Southover Medical Practice. </w:t>
      </w:r>
      <w:r w:rsidR="00DB496E" w:rsidRPr="006A73AF">
        <w:rPr>
          <w:sz w:val="24"/>
          <w:szCs w:val="24"/>
        </w:rPr>
        <w:t xml:space="preserve">Working together, we ensure that our patients receive the best possible care. </w:t>
      </w:r>
    </w:p>
    <w:p w14:paraId="5C6995EE" w14:textId="77777777" w:rsidR="00B87A38" w:rsidRPr="006A73AF" w:rsidRDefault="00B87A38" w:rsidP="00B87A38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en-GB"/>
        </w:rPr>
      </w:pPr>
    </w:p>
    <w:p w14:paraId="59A9B7A8" w14:textId="77777777" w:rsidR="006A73AF" w:rsidRPr="006A73AF" w:rsidRDefault="006A73AF" w:rsidP="00F37C0F">
      <w:pPr>
        <w:shd w:val="clear" w:color="auto" w:fill="FFFFFF"/>
        <w:spacing w:after="0" w:line="360" w:lineRule="atLeast"/>
        <w:rPr>
          <w:rFonts w:eastAsia="Times New Roman" w:cstheme="minorHAnsi"/>
          <w:b/>
          <w:bCs/>
          <w:color w:val="333333"/>
          <w:sz w:val="24"/>
          <w:szCs w:val="24"/>
          <w:bdr w:val="none" w:sz="0" w:space="0" w:color="auto" w:frame="1"/>
          <w:lang w:eastAsia="en-GB"/>
        </w:rPr>
      </w:pPr>
      <w:r w:rsidRPr="006A73AF">
        <w:rPr>
          <w:rFonts w:eastAsia="Times New Roman" w:cstheme="minorHAnsi"/>
          <w:b/>
          <w:bCs/>
          <w:color w:val="333333"/>
          <w:sz w:val="24"/>
          <w:szCs w:val="24"/>
          <w:bdr w:val="none" w:sz="0" w:space="0" w:color="auto" w:frame="1"/>
          <w:lang w:eastAsia="en-GB"/>
        </w:rPr>
        <w:t>Person Specification</w:t>
      </w:r>
    </w:p>
    <w:p w14:paraId="5EF7986C" w14:textId="77777777" w:rsidR="006A73AF" w:rsidRPr="006A73AF" w:rsidRDefault="006A73AF" w:rsidP="00F37C0F">
      <w:pPr>
        <w:shd w:val="clear" w:color="auto" w:fill="FFFFFF"/>
        <w:spacing w:after="0" w:line="360" w:lineRule="atLeast"/>
        <w:rPr>
          <w:rFonts w:eastAsia="Times New Roman" w:cstheme="minorHAnsi"/>
          <w:b/>
          <w:bCs/>
          <w:color w:val="333333"/>
          <w:sz w:val="24"/>
          <w:szCs w:val="24"/>
          <w:bdr w:val="none" w:sz="0" w:space="0" w:color="auto" w:frame="1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8"/>
        <w:gridCol w:w="3330"/>
        <w:gridCol w:w="3498"/>
      </w:tblGrid>
      <w:tr w:rsidR="006A73AF" w:rsidRPr="006A73AF" w14:paraId="1C2348D4" w14:textId="77777777" w:rsidTr="00D2068B">
        <w:tc>
          <w:tcPr>
            <w:tcW w:w="2235" w:type="dxa"/>
          </w:tcPr>
          <w:p w14:paraId="5B9F52C1" w14:textId="77777777" w:rsidR="006A73AF" w:rsidRPr="006A73AF" w:rsidRDefault="006A73AF" w:rsidP="00D2068B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0A36A90F" w14:textId="77777777" w:rsidR="006A73AF" w:rsidRPr="006A73AF" w:rsidRDefault="006A73AF" w:rsidP="00D2068B">
            <w:pPr>
              <w:rPr>
                <w:b/>
                <w:sz w:val="24"/>
                <w:szCs w:val="24"/>
              </w:rPr>
            </w:pPr>
            <w:r w:rsidRPr="006A73AF">
              <w:rPr>
                <w:b/>
                <w:sz w:val="24"/>
                <w:szCs w:val="24"/>
              </w:rPr>
              <w:t>Essential</w:t>
            </w:r>
          </w:p>
        </w:tc>
        <w:tc>
          <w:tcPr>
            <w:tcW w:w="3605" w:type="dxa"/>
          </w:tcPr>
          <w:p w14:paraId="6E0049FC" w14:textId="77777777" w:rsidR="006A73AF" w:rsidRPr="006A73AF" w:rsidRDefault="006A73AF" w:rsidP="00D2068B">
            <w:pPr>
              <w:rPr>
                <w:b/>
                <w:sz w:val="24"/>
                <w:szCs w:val="24"/>
              </w:rPr>
            </w:pPr>
            <w:r w:rsidRPr="006A73AF">
              <w:rPr>
                <w:b/>
                <w:sz w:val="24"/>
                <w:szCs w:val="24"/>
              </w:rPr>
              <w:t>Desirable</w:t>
            </w:r>
          </w:p>
        </w:tc>
      </w:tr>
      <w:tr w:rsidR="006A73AF" w:rsidRPr="006A73AF" w14:paraId="4E5C719B" w14:textId="77777777" w:rsidTr="00D2068B">
        <w:tc>
          <w:tcPr>
            <w:tcW w:w="2235" w:type="dxa"/>
          </w:tcPr>
          <w:p w14:paraId="10AD9F4C" w14:textId="77777777" w:rsidR="006A73AF" w:rsidRPr="006A73AF" w:rsidRDefault="006A73AF" w:rsidP="006A73AF">
            <w:pPr>
              <w:rPr>
                <w:b/>
                <w:sz w:val="24"/>
                <w:szCs w:val="24"/>
              </w:rPr>
            </w:pPr>
            <w:r w:rsidRPr="006A73AF">
              <w:rPr>
                <w:b/>
                <w:sz w:val="24"/>
                <w:szCs w:val="24"/>
              </w:rPr>
              <w:t>Qualifications</w:t>
            </w:r>
          </w:p>
        </w:tc>
        <w:tc>
          <w:tcPr>
            <w:tcW w:w="3402" w:type="dxa"/>
          </w:tcPr>
          <w:p w14:paraId="6FC4D583" w14:textId="77777777" w:rsidR="006A73AF" w:rsidRPr="006A73AF" w:rsidRDefault="006A73AF" w:rsidP="006A73AF">
            <w:pPr>
              <w:shd w:val="clear" w:color="auto" w:fill="FFFFFF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605" w:type="dxa"/>
          </w:tcPr>
          <w:p w14:paraId="6D3FF78D" w14:textId="77777777" w:rsidR="006A73AF" w:rsidRPr="006A73AF" w:rsidRDefault="006A73AF" w:rsidP="006A73AF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A73AF">
              <w:rPr>
                <w:rFonts w:eastAsia="Times New Roman" w:cstheme="minorHAnsi"/>
                <w:sz w:val="24"/>
                <w:szCs w:val="24"/>
                <w:lang w:eastAsia="en-GB"/>
              </w:rPr>
              <w:t>A Diploma Level 2 in Health and Social Care or equivalent qualification</w:t>
            </w:r>
          </w:p>
          <w:p w14:paraId="4A08CAE4" w14:textId="77777777" w:rsidR="006A73AF" w:rsidRPr="006A73AF" w:rsidRDefault="006A73AF" w:rsidP="00D2068B">
            <w:pPr>
              <w:rPr>
                <w:b/>
                <w:sz w:val="24"/>
                <w:szCs w:val="24"/>
              </w:rPr>
            </w:pPr>
          </w:p>
        </w:tc>
      </w:tr>
      <w:tr w:rsidR="006A73AF" w:rsidRPr="006A73AF" w14:paraId="32F0957F" w14:textId="77777777" w:rsidTr="00D2068B">
        <w:tc>
          <w:tcPr>
            <w:tcW w:w="2235" w:type="dxa"/>
          </w:tcPr>
          <w:p w14:paraId="4B7F2CE9" w14:textId="77777777" w:rsidR="006A73AF" w:rsidRPr="006A73AF" w:rsidRDefault="006A73AF" w:rsidP="006A73AF">
            <w:pPr>
              <w:rPr>
                <w:b/>
                <w:sz w:val="24"/>
                <w:szCs w:val="24"/>
              </w:rPr>
            </w:pPr>
            <w:r w:rsidRPr="006A73AF">
              <w:rPr>
                <w:b/>
                <w:sz w:val="24"/>
                <w:szCs w:val="24"/>
              </w:rPr>
              <w:t>Experience</w:t>
            </w:r>
          </w:p>
        </w:tc>
        <w:tc>
          <w:tcPr>
            <w:tcW w:w="3402" w:type="dxa"/>
          </w:tcPr>
          <w:p w14:paraId="68EACC2C" w14:textId="77777777" w:rsidR="006A73AF" w:rsidRPr="006A73AF" w:rsidRDefault="006A73AF" w:rsidP="006A73AF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6A73AF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 xml:space="preserve">Experience of working within healthcare or the voluntary / community </w:t>
            </w:r>
            <w:r w:rsidRPr="006A73AF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lastRenderedPageBreak/>
              <w:t xml:space="preserve">sector, supporting vulnerable groups </w:t>
            </w:r>
          </w:p>
          <w:p w14:paraId="12A7928C" w14:textId="77777777" w:rsidR="006A73AF" w:rsidRPr="006A73AF" w:rsidRDefault="006A73AF" w:rsidP="006A73A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05" w:type="dxa"/>
          </w:tcPr>
          <w:p w14:paraId="41ADC12D" w14:textId="77777777" w:rsidR="006A73AF" w:rsidRPr="006A73AF" w:rsidRDefault="006A73AF" w:rsidP="006A73AF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A73AF">
              <w:rPr>
                <w:rFonts w:eastAsia="Times New Roman" w:cstheme="minorHAnsi"/>
                <w:sz w:val="24"/>
                <w:szCs w:val="24"/>
                <w:lang w:eastAsia="en-GB"/>
              </w:rPr>
              <w:lastRenderedPageBreak/>
              <w:t xml:space="preserve">Experience of using the EMIS clinical system </w:t>
            </w:r>
          </w:p>
          <w:p w14:paraId="41D8BDA7" w14:textId="77777777" w:rsidR="006A73AF" w:rsidRPr="006A73AF" w:rsidRDefault="006A73AF" w:rsidP="006A73A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6A73AF" w:rsidRPr="006A73AF" w14:paraId="31988ED6" w14:textId="77777777" w:rsidTr="00D2068B">
        <w:tc>
          <w:tcPr>
            <w:tcW w:w="2235" w:type="dxa"/>
          </w:tcPr>
          <w:p w14:paraId="52A3FD35" w14:textId="77777777" w:rsidR="006A73AF" w:rsidRPr="006A73AF" w:rsidRDefault="006A73AF" w:rsidP="006A73AF">
            <w:pPr>
              <w:rPr>
                <w:b/>
                <w:sz w:val="24"/>
                <w:szCs w:val="24"/>
              </w:rPr>
            </w:pPr>
            <w:r w:rsidRPr="006A73AF">
              <w:rPr>
                <w:b/>
                <w:sz w:val="24"/>
                <w:szCs w:val="24"/>
              </w:rPr>
              <w:t>Skills</w:t>
            </w:r>
          </w:p>
        </w:tc>
        <w:tc>
          <w:tcPr>
            <w:tcW w:w="3402" w:type="dxa"/>
          </w:tcPr>
          <w:p w14:paraId="7835AC72" w14:textId="77777777" w:rsidR="006A73AF" w:rsidRPr="006A73AF" w:rsidRDefault="006A73AF" w:rsidP="006A73AF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6A73AF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 xml:space="preserve">Strong IT skills to include Word, Excel and experience in using databases </w:t>
            </w:r>
          </w:p>
          <w:p w14:paraId="3E259B95" w14:textId="77777777" w:rsidR="006A73AF" w:rsidRPr="006A73AF" w:rsidRDefault="006A73AF" w:rsidP="006A73AF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6A73AF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 xml:space="preserve">Ability to </w:t>
            </w:r>
            <w:r w:rsidRPr="006A73AF">
              <w:rPr>
                <w:sz w:val="24"/>
                <w:szCs w:val="24"/>
              </w:rPr>
              <w:t>work collaboratively, liaising with other stakeholders as needed for the collective benefit of patients including GPs, Practice Nurses, healthcare professionals and other practice staff</w:t>
            </w:r>
          </w:p>
          <w:p w14:paraId="43CE7ADF" w14:textId="77777777" w:rsidR="006A73AF" w:rsidRPr="006A73AF" w:rsidRDefault="006A73AF" w:rsidP="006A73AF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6A73AF">
              <w:rPr>
                <w:sz w:val="24"/>
                <w:szCs w:val="24"/>
              </w:rPr>
              <w:t xml:space="preserve">Willing to travel across PCN sites if / when required </w:t>
            </w:r>
          </w:p>
          <w:p w14:paraId="634C8B63" w14:textId="77777777" w:rsidR="006A73AF" w:rsidRPr="006A73AF" w:rsidRDefault="006A73AF" w:rsidP="006A73A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05" w:type="dxa"/>
          </w:tcPr>
          <w:p w14:paraId="0A8C2EA8" w14:textId="77777777" w:rsidR="006A73AF" w:rsidRPr="006A73AF" w:rsidRDefault="006A73AF" w:rsidP="006A73AF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A73AF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Familiar with local resources and services and how to access them. </w:t>
            </w:r>
          </w:p>
          <w:p w14:paraId="3EE6A6C4" w14:textId="77777777" w:rsidR="006A73AF" w:rsidRPr="006A73AF" w:rsidRDefault="006A73AF" w:rsidP="006A73A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A73AF" w:rsidRPr="006A73AF" w14:paraId="75CA41AD" w14:textId="77777777" w:rsidTr="00D2068B">
        <w:tc>
          <w:tcPr>
            <w:tcW w:w="2235" w:type="dxa"/>
          </w:tcPr>
          <w:p w14:paraId="44AC7538" w14:textId="77777777" w:rsidR="006A73AF" w:rsidRPr="006A73AF" w:rsidRDefault="006A73AF" w:rsidP="00D2068B">
            <w:pPr>
              <w:rPr>
                <w:b/>
                <w:sz w:val="24"/>
                <w:szCs w:val="24"/>
              </w:rPr>
            </w:pPr>
            <w:r w:rsidRPr="006A73AF">
              <w:rPr>
                <w:b/>
                <w:sz w:val="24"/>
                <w:szCs w:val="24"/>
              </w:rPr>
              <w:t>Personal attributes</w:t>
            </w:r>
          </w:p>
          <w:p w14:paraId="2719B824" w14:textId="77777777" w:rsidR="006A73AF" w:rsidRPr="006A73AF" w:rsidRDefault="006A73AF" w:rsidP="00D2068B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20BA0BE8" w14:textId="77777777" w:rsidR="006A73AF" w:rsidRPr="006A73AF" w:rsidRDefault="006A73AF" w:rsidP="006A73AF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6A73AF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Ability to listen and communicate effectively with a wide range of people</w:t>
            </w:r>
          </w:p>
          <w:p w14:paraId="1C677A0E" w14:textId="77777777" w:rsidR="006A73AF" w:rsidRPr="006A73AF" w:rsidRDefault="006A73AF" w:rsidP="006A73AF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6A73AF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 xml:space="preserve">Motivated by helping people, and be caring and empathetic </w:t>
            </w:r>
            <w:r w:rsidRPr="006A73AF">
              <w:rPr>
                <w:sz w:val="24"/>
                <w:szCs w:val="24"/>
              </w:rPr>
              <w:t>and committed to providing a high-quality service.</w:t>
            </w:r>
          </w:p>
          <w:p w14:paraId="48C23C75" w14:textId="77777777" w:rsidR="006A73AF" w:rsidRPr="006A73AF" w:rsidRDefault="006A73AF" w:rsidP="006A73A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6A73AF">
              <w:rPr>
                <w:sz w:val="24"/>
                <w:szCs w:val="24"/>
              </w:rPr>
              <w:t>Flexible in approach to adapt to the changing needs of the service.</w:t>
            </w:r>
          </w:p>
          <w:p w14:paraId="5E963862" w14:textId="77777777" w:rsidR="006A73AF" w:rsidRPr="006A73AF" w:rsidRDefault="006A73AF" w:rsidP="006A73A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6A73AF">
              <w:rPr>
                <w:sz w:val="24"/>
                <w:szCs w:val="24"/>
              </w:rPr>
              <w:t>Positive and caring attitude.</w:t>
            </w:r>
          </w:p>
          <w:p w14:paraId="43FDE650" w14:textId="77777777" w:rsidR="006A73AF" w:rsidRPr="006A73AF" w:rsidRDefault="006A73AF" w:rsidP="006A73A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6A73AF">
              <w:rPr>
                <w:sz w:val="24"/>
                <w:szCs w:val="24"/>
              </w:rPr>
              <w:t>Ability to develop and maintain effective working relationships both within and outside the PCN</w:t>
            </w:r>
          </w:p>
          <w:p w14:paraId="7E795550" w14:textId="77777777" w:rsidR="006A73AF" w:rsidRPr="006A73AF" w:rsidRDefault="006A73AF" w:rsidP="006A73AF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6A73AF">
              <w:rPr>
                <w:sz w:val="24"/>
                <w:szCs w:val="24"/>
              </w:rPr>
              <w:t>Act</w:t>
            </w:r>
            <w:r>
              <w:rPr>
                <w:sz w:val="24"/>
                <w:szCs w:val="24"/>
              </w:rPr>
              <w:t>s</w:t>
            </w:r>
            <w:r w:rsidRPr="006A73AF">
              <w:rPr>
                <w:sz w:val="24"/>
                <w:szCs w:val="24"/>
              </w:rPr>
              <w:t xml:space="preserve"> in a non-judgmental and non-discriminatory way at all times </w:t>
            </w:r>
          </w:p>
          <w:p w14:paraId="0FCADE7E" w14:textId="77777777" w:rsidR="006A73AF" w:rsidRPr="006A73AF" w:rsidRDefault="006A73AF" w:rsidP="006A73AF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6A73AF">
              <w:rPr>
                <w:sz w:val="24"/>
                <w:szCs w:val="24"/>
              </w:rPr>
              <w:t>Understand</w:t>
            </w:r>
            <w:r>
              <w:rPr>
                <w:sz w:val="24"/>
                <w:szCs w:val="24"/>
              </w:rPr>
              <w:t>s</w:t>
            </w:r>
            <w:r w:rsidRPr="006A73AF">
              <w:rPr>
                <w:sz w:val="24"/>
                <w:szCs w:val="24"/>
              </w:rPr>
              <w:t xml:space="preserve"> the importance of patient confidentiality </w:t>
            </w:r>
          </w:p>
        </w:tc>
        <w:tc>
          <w:tcPr>
            <w:tcW w:w="3605" w:type="dxa"/>
          </w:tcPr>
          <w:p w14:paraId="74C64822" w14:textId="77777777" w:rsidR="006A73AF" w:rsidRPr="006A73AF" w:rsidRDefault="006A73AF" w:rsidP="00D2068B">
            <w:pPr>
              <w:rPr>
                <w:sz w:val="24"/>
                <w:szCs w:val="24"/>
              </w:rPr>
            </w:pPr>
          </w:p>
        </w:tc>
      </w:tr>
    </w:tbl>
    <w:p w14:paraId="6B467777" w14:textId="77777777" w:rsidR="00F37C0F" w:rsidRPr="006A73AF" w:rsidRDefault="00F37C0F" w:rsidP="00F37C0F">
      <w:pPr>
        <w:shd w:val="clear" w:color="auto" w:fill="FFFFFF"/>
        <w:spacing w:after="0" w:line="240" w:lineRule="auto"/>
        <w:ind w:left="600"/>
        <w:rPr>
          <w:rFonts w:eastAsia="Times New Roman" w:cstheme="minorHAnsi"/>
          <w:b/>
          <w:color w:val="333333"/>
          <w:sz w:val="24"/>
          <w:szCs w:val="24"/>
          <w:lang w:eastAsia="en-GB"/>
        </w:rPr>
      </w:pPr>
    </w:p>
    <w:p w14:paraId="0962068C" w14:textId="77777777" w:rsidR="00F37C0F" w:rsidRPr="006A73AF" w:rsidRDefault="00F37C0F" w:rsidP="00F37C0F">
      <w:pPr>
        <w:pBdr>
          <w:bottom w:val="single" w:sz="6" w:space="8" w:color="E8E8E8"/>
        </w:pBdr>
        <w:shd w:val="clear" w:color="auto" w:fill="FFFFFF"/>
        <w:spacing w:after="75" w:line="240" w:lineRule="auto"/>
        <w:outlineLvl w:val="2"/>
        <w:rPr>
          <w:rFonts w:eastAsia="Times New Roman" w:cstheme="minorHAnsi"/>
          <w:b/>
          <w:bCs/>
          <w:color w:val="333333"/>
          <w:sz w:val="24"/>
          <w:szCs w:val="24"/>
          <w:lang w:eastAsia="en-GB"/>
        </w:rPr>
      </w:pPr>
      <w:r w:rsidRPr="006A73AF">
        <w:rPr>
          <w:rFonts w:eastAsia="Times New Roman" w:cstheme="minorHAnsi"/>
          <w:b/>
          <w:bCs/>
          <w:color w:val="333333"/>
          <w:sz w:val="24"/>
          <w:szCs w:val="24"/>
          <w:lang w:eastAsia="en-GB"/>
        </w:rPr>
        <w:lastRenderedPageBreak/>
        <w:t>Disclosure and Barring Service Check</w:t>
      </w:r>
    </w:p>
    <w:p w14:paraId="10A1D525" w14:textId="77777777" w:rsidR="00F37C0F" w:rsidRPr="006A73AF" w:rsidRDefault="00F37C0F" w:rsidP="00F37C0F">
      <w:pPr>
        <w:shd w:val="clear" w:color="auto" w:fill="FFFFFF"/>
        <w:spacing w:after="225" w:line="360" w:lineRule="atLeast"/>
        <w:rPr>
          <w:rFonts w:eastAsia="Times New Roman" w:cstheme="minorHAnsi"/>
          <w:sz w:val="24"/>
          <w:szCs w:val="24"/>
          <w:lang w:eastAsia="en-GB"/>
        </w:rPr>
      </w:pPr>
      <w:r w:rsidRPr="006A73AF">
        <w:rPr>
          <w:rFonts w:eastAsia="Times New Roman" w:cstheme="minorHAnsi"/>
          <w:sz w:val="24"/>
          <w:szCs w:val="24"/>
          <w:lang w:eastAsia="en-GB"/>
        </w:rPr>
        <w:t>This post is subject to the Rehabilitation of Offenders Act (Exceptions Order) 1975 and as such it will be necessary for a submission for Disclosure to be made to the Disclosure and Barring Service (formerly known as CRB) to check for any previous criminal convictions.</w:t>
      </w:r>
    </w:p>
    <w:p w14:paraId="2B7AAD55" w14:textId="77777777" w:rsidR="00B53269" w:rsidRPr="006A73AF" w:rsidRDefault="00455794">
      <w:pPr>
        <w:rPr>
          <w:sz w:val="24"/>
          <w:szCs w:val="24"/>
        </w:rPr>
      </w:pPr>
    </w:p>
    <w:sectPr w:rsidR="00B53269" w:rsidRPr="006A73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41016"/>
    <w:multiLevelType w:val="hybridMultilevel"/>
    <w:tmpl w:val="6A2EBF80"/>
    <w:lvl w:ilvl="0" w:tplc="3C5E69E8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A23C2"/>
    <w:multiLevelType w:val="multilevel"/>
    <w:tmpl w:val="F8821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7653F69"/>
    <w:multiLevelType w:val="hybridMultilevel"/>
    <w:tmpl w:val="F0CC4F98"/>
    <w:lvl w:ilvl="0" w:tplc="80C0A678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CC2C72"/>
    <w:multiLevelType w:val="hybridMultilevel"/>
    <w:tmpl w:val="6CB4B8EA"/>
    <w:lvl w:ilvl="0" w:tplc="835CEA1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C0F"/>
    <w:rsid w:val="00175DE9"/>
    <w:rsid w:val="003F38D0"/>
    <w:rsid w:val="00455794"/>
    <w:rsid w:val="006A73AF"/>
    <w:rsid w:val="00A678C6"/>
    <w:rsid w:val="00B253F5"/>
    <w:rsid w:val="00B87A38"/>
    <w:rsid w:val="00CE76AF"/>
    <w:rsid w:val="00DB496E"/>
    <w:rsid w:val="00F3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DA5D1"/>
  <w15:chartTrackingRefBased/>
  <w15:docId w15:val="{61189858-C6B8-43BA-AC36-64C3F98EC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7C0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73AF"/>
    <w:pPr>
      <w:ind w:left="720"/>
      <w:contextualSpacing/>
    </w:pPr>
  </w:style>
  <w:style w:type="table" w:styleId="TableGrid">
    <w:name w:val="Table Grid"/>
    <w:basedOn w:val="TableNormal"/>
    <w:uiPriority w:val="59"/>
    <w:rsid w:val="006A7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SDHIS</Company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WALSH, Jasmine (BRUNEL MEDICAL PRACTICE)</dc:creator>
  <cp:keywords/>
  <dc:description/>
  <cp:lastModifiedBy>Fiona Gardiner</cp:lastModifiedBy>
  <cp:revision>2</cp:revision>
  <dcterms:created xsi:type="dcterms:W3CDTF">2021-02-05T15:15:00Z</dcterms:created>
  <dcterms:modified xsi:type="dcterms:W3CDTF">2021-02-05T15:15:00Z</dcterms:modified>
</cp:coreProperties>
</file>